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9B9" w:rsidRPr="00B13577" w:rsidRDefault="000A27D8" w:rsidP="000A27D8">
      <w:pPr>
        <w:jc w:val="center"/>
        <w:rPr>
          <w:rFonts w:ascii="Times New Roman" w:hAnsi="Times New Roman" w:cs="Times New Roman"/>
          <w:b/>
          <w:sz w:val="24"/>
          <w:szCs w:val="24"/>
        </w:rPr>
      </w:pPr>
      <w:r w:rsidRPr="00B13577">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56912FD9" wp14:editId="1AE57485">
                <wp:simplePos x="0" y="0"/>
                <wp:positionH relativeFrom="column">
                  <wp:posOffset>-104775</wp:posOffset>
                </wp:positionH>
                <wp:positionV relativeFrom="paragraph">
                  <wp:posOffset>581025</wp:posOffset>
                </wp:positionV>
                <wp:extent cx="6257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2579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A4FE12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25pt,45.75pt" to="484.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" strokecolor="#4a7ebb"/>
            </w:pict>
          </mc:Fallback>
        </mc:AlternateContent>
      </w:r>
      <w:r w:rsidRPr="00B13577">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FB3E03D" wp14:editId="62AE80C4">
                <wp:simplePos x="0" y="0"/>
                <wp:positionH relativeFrom="column">
                  <wp:posOffset>-104776</wp:posOffset>
                </wp:positionH>
                <wp:positionV relativeFrom="paragraph">
                  <wp:posOffset>-152400</wp:posOffset>
                </wp:positionV>
                <wp:extent cx="6257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B2992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5pt,-12pt" to="4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" strokecolor="#4579b8 [3044]"/>
            </w:pict>
          </mc:Fallback>
        </mc:AlternateContent>
      </w:r>
      <w:r w:rsidRPr="00B13577">
        <w:rPr>
          <w:rFonts w:ascii="Times New Roman" w:hAnsi="Times New Roman" w:cs="Times New Roman"/>
          <w:b/>
          <w:sz w:val="24"/>
          <w:szCs w:val="24"/>
        </w:rPr>
        <w:t>Summary of Content Changes</w:t>
      </w:r>
      <w:r w:rsidR="000A751A" w:rsidRPr="00B13577">
        <w:rPr>
          <w:rFonts w:ascii="Times New Roman" w:hAnsi="Times New Roman" w:cs="Times New Roman"/>
          <w:b/>
          <w:sz w:val="24"/>
          <w:szCs w:val="24"/>
        </w:rPr>
        <w:br/>
        <w:t>201</w:t>
      </w:r>
      <w:r w:rsidR="00354E7B" w:rsidRPr="00B13577">
        <w:rPr>
          <w:rFonts w:ascii="Times New Roman" w:hAnsi="Times New Roman" w:cs="Times New Roman"/>
          <w:b/>
          <w:sz w:val="24"/>
          <w:szCs w:val="24"/>
        </w:rPr>
        <w:t>7</w:t>
      </w:r>
      <w:r w:rsidR="000A751A" w:rsidRPr="00B13577">
        <w:rPr>
          <w:rFonts w:ascii="Times New Roman" w:hAnsi="Times New Roman" w:cs="Times New Roman"/>
          <w:b/>
          <w:sz w:val="24"/>
          <w:szCs w:val="24"/>
        </w:rPr>
        <w:t>.</w:t>
      </w:r>
      <w:r w:rsidR="00BB55F1" w:rsidRPr="00B13577">
        <w:rPr>
          <w:rFonts w:ascii="Times New Roman" w:hAnsi="Times New Roman" w:cs="Times New Roman"/>
          <w:b/>
          <w:sz w:val="24"/>
          <w:szCs w:val="24"/>
        </w:rPr>
        <w:t>4</w:t>
      </w:r>
      <w:r w:rsidR="000A751A" w:rsidRPr="00B13577">
        <w:rPr>
          <w:rFonts w:ascii="Times New Roman" w:hAnsi="Times New Roman" w:cs="Times New Roman"/>
          <w:b/>
          <w:sz w:val="24"/>
          <w:szCs w:val="24"/>
        </w:rPr>
        <w:t xml:space="preserve"> Update – </w:t>
      </w:r>
      <w:r w:rsidR="00BB55F1" w:rsidRPr="00B13577">
        <w:rPr>
          <w:rFonts w:ascii="Times New Roman" w:hAnsi="Times New Roman" w:cs="Times New Roman"/>
          <w:b/>
          <w:sz w:val="24"/>
          <w:szCs w:val="24"/>
        </w:rPr>
        <w:t>September</w:t>
      </w:r>
      <w:r w:rsidR="00354E7B" w:rsidRPr="00B13577">
        <w:rPr>
          <w:rFonts w:ascii="Times New Roman" w:hAnsi="Times New Roman" w:cs="Times New Roman"/>
          <w:b/>
          <w:sz w:val="24"/>
          <w:szCs w:val="24"/>
        </w:rPr>
        <w:t xml:space="preserve"> 2017</w:t>
      </w:r>
    </w:p>
    <w:p w:rsidR="00061545" w:rsidRPr="00B13577" w:rsidRDefault="00061545">
      <w:pPr>
        <w:rPr>
          <w:rFonts w:ascii="Times New Roman" w:hAnsi="Times New Roman" w:cs="Times New Roman"/>
          <w:b/>
          <w:sz w:val="24"/>
          <w:szCs w:val="24"/>
          <w:u w:val="single"/>
        </w:rPr>
      </w:pPr>
    </w:p>
    <w:p w:rsidR="00BB140A" w:rsidRPr="00B13577" w:rsidRDefault="00BB140A">
      <w:pPr>
        <w:rPr>
          <w:rFonts w:ascii="Times New Roman" w:hAnsi="Times New Roman" w:cs="Times New Roman"/>
          <w:b/>
          <w:sz w:val="24"/>
          <w:szCs w:val="24"/>
          <w:u w:val="single"/>
        </w:rPr>
      </w:pPr>
      <w:r w:rsidRPr="00B13577">
        <w:rPr>
          <w:rFonts w:ascii="Times New Roman" w:hAnsi="Times New Roman" w:cs="Times New Roman"/>
          <w:b/>
          <w:sz w:val="24"/>
          <w:szCs w:val="24"/>
          <w:u w:val="single"/>
        </w:rPr>
        <w:t>General Notes</w:t>
      </w:r>
    </w:p>
    <w:p w:rsidR="007837CD" w:rsidRPr="00B13577" w:rsidRDefault="00BB55F1" w:rsidP="00B52136">
      <w:pPr>
        <w:rPr>
          <w:rFonts w:ascii="Times New Roman" w:hAnsi="Times New Roman" w:cs="Times New Roman"/>
          <w:sz w:val="24"/>
          <w:szCs w:val="24"/>
        </w:rPr>
      </w:pPr>
      <w:r w:rsidRPr="00B13577">
        <w:rPr>
          <w:rFonts w:ascii="Times New Roman" w:hAnsi="Times New Roman" w:cs="Times New Roman"/>
          <w:sz w:val="24"/>
          <w:szCs w:val="24"/>
        </w:rPr>
        <w:t xml:space="preserve">Effective on January 1, 2018, </w:t>
      </w:r>
      <w:r w:rsidR="0050534A" w:rsidRPr="00B13577">
        <w:rPr>
          <w:rFonts w:ascii="Times New Roman" w:hAnsi="Times New Roman" w:cs="Times New Roman"/>
          <w:sz w:val="24"/>
          <w:szCs w:val="24"/>
        </w:rPr>
        <w:t xml:space="preserve">significant changes become effective related to the applicability of the </w:t>
      </w:r>
      <w:hyperlink r:id="rId5" w:history="1">
        <w:r w:rsidR="0050534A" w:rsidRPr="00B13577">
          <w:rPr>
            <w:rStyle w:val="Hyperlink"/>
            <w:rFonts w:ascii="Times New Roman" w:hAnsi="Times New Roman" w:cs="Times New Roman"/>
            <w:sz w:val="24"/>
            <w:szCs w:val="24"/>
          </w:rPr>
          <w:t>Home Mortgage Disclosure Act (HMDA)</w:t>
        </w:r>
      </w:hyperlink>
      <w:r w:rsidR="0050534A" w:rsidRPr="00B13577">
        <w:rPr>
          <w:rFonts w:ascii="Times New Roman" w:hAnsi="Times New Roman" w:cs="Times New Roman"/>
          <w:sz w:val="24"/>
          <w:szCs w:val="24"/>
        </w:rPr>
        <w:t xml:space="preserve">, the types of transactions subject to HMDA, the specific information that credit unions are required to collect, record and report, and the process for credit unions to report and disclose data.  Because of the substantial amount of changes, credit unions are encouraged to visit the </w:t>
      </w:r>
      <w:hyperlink r:id="rId6" w:history="1">
        <w:r w:rsidR="0050534A" w:rsidRPr="00B13577">
          <w:rPr>
            <w:rStyle w:val="Hyperlink"/>
            <w:rFonts w:ascii="Times New Roman" w:hAnsi="Times New Roman" w:cs="Times New Roman"/>
            <w:sz w:val="24"/>
            <w:szCs w:val="24"/>
          </w:rPr>
          <w:t>CFPB’s website</w:t>
        </w:r>
      </w:hyperlink>
      <w:r w:rsidR="0050534A" w:rsidRPr="00B13577">
        <w:rPr>
          <w:rFonts w:ascii="Times New Roman" w:hAnsi="Times New Roman" w:cs="Times New Roman"/>
          <w:sz w:val="24"/>
          <w:szCs w:val="24"/>
        </w:rPr>
        <w:t xml:space="preserve"> to view helpful resources to ensure compliance.  </w:t>
      </w:r>
    </w:p>
    <w:p w:rsidR="0050534A" w:rsidRPr="00B13577" w:rsidRDefault="0050534A" w:rsidP="00B52136">
      <w:pPr>
        <w:rPr>
          <w:rFonts w:ascii="Times New Roman" w:hAnsi="Times New Roman" w:cs="Times New Roman"/>
          <w:sz w:val="24"/>
          <w:szCs w:val="24"/>
        </w:rPr>
      </w:pPr>
      <w:r w:rsidRPr="00B13577">
        <w:rPr>
          <w:rFonts w:ascii="Times New Roman" w:hAnsi="Times New Roman" w:cs="Times New Roman"/>
          <w:sz w:val="24"/>
          <w:szCs w:val="24"/>
        </w:rPr>
        <w:t xml:space="preserve">Credit unions should also be aware that in addition to NACHA’s Same-Day ACH changes that become effective on September 15, 2017, NACHA also made some changes related to </w:t>
      </w:r>
      <w:hyperlink r:id="rId7" w:history="1">
        <w:r w:rsidR="00062695" w:rsidRPr="00B13577">
          <w:rPr>
            <w:rStyle w:val="Hyperlink"/>
            <w:rFonts w:ascii="Times New Roman" w:hAnsi="Times New Roman" w:cs="Times New Roman"/>
            <w:sz w:val="24"/>
            <w:szCs w:val="24"/>
          </w:rPr>
          <w:t>Third-Party Senders</w:t>
        </w:r>
      </w:hyperlink>
      <w:r w:rsidR="00062695" w:rsidRPr="00B13577">
        <w:rPr>
          <w:rFonts w:ascii="Times New Roman" w:hAnsi="Times New Roman" w:cs="Times New Roman"/>
          <w:sz w:val="24"/>
          <w:szCs w:val="24"/>
        </w:rPr>
        <w:t xml:space="preserve"> and the need for credit union Originating Depository Financial Institutions (ODFIs) to register those customers.  </w:t>
      </w:r>
      <w:hyperlink r:id="rId8" w:history="1">
        <w:r w:rsidRPr="00B13577">
          <w:rPr>
            <w:rStyle w:val="Hyperlink"/>
            <w:rFonts w:ascii="Times New Roman" w:hAnsi="Times New Roman" w:cs="Times New Roman"/>
            <w:sz w:val="24"/>
            <w:szCs w:val="24"/>
          </w:rPr>
          <w:t>Third-Party Sender Identification Tool</w:t>
        </w:r>
      </w:hyperlink>
      <w:r w:rsidRPr="00B13577">
        <w:rPr>
          <w:rFonts w:ascii="Times New Roman" w:hAnsi="Times New Roman" w:cs="Times New Roman"/>
          <w:sz w:val="24"/>
          <w:szCs w:val="24"/>
        </w:rPr>
        <w:t xml:space="preserve"> is a useful resource</w:t>
      </w:r>
      <w:r w:rsidR="00062695" w:rsidRPr="00B13577">
        <w:rPr>
          <w:rFonts w:ascii="Times New Roman" w:hAnsi="Times New Roman" w:cs="Times New Roman"/>
          <w:sz w:val="24"/>
          <w:szCs w:val="24"/>
        </w:rPr>
        <w:t xml:space="preserve"> for credit unions.</w:t>
      </w:r>
    </w:p>
    <w:p w:rsidR="00061545" w:rsidRPr="00B13577" w:rsidRDefault="00061545" w:rsidP="002D1823">
      <w:pPr>
        <w:spacing w:after="0"/>
        <w:rPr>
          <w:rFonts w:ascii="Times New Roman" w:hAnsi="Times New Roman" w:cs="Times New Roman"/>
          <w:b/>
          <w:sz w:val="24"/>
          <w:szCs w:val="24"/>
          <w:u w:val="single"/>
        </w:rPr>
      </w:pPr>
      <w:r w:rsidRPr="00B13577">
        <w:rPr>
          <w:rFonts w:ascii="Times New Roman" w:hAnsi="Times New Roman" w:cs="Times New Roman"/>
          <w:b/>
          <w:sz w:val="24"/>
          <w:szCs w:val="24"/>
          <w:u w:val="single"/>
        </w:rPr>
        <w:t>Policy Updates Summary</w:t>
      </w:r>
    </w:p>
    <w:p w:rsidR="00EC6CDB" w:rsidRPr="00B13577" w:rsidRDefault="00EC6CDB" w:rsidP="002D1823">
      <w:pPr>
        <w:spacing w:after="0"/>
        <w:rPr>
          <w:rFonts w:ascii="Times New Roman" w:hAnsi="Times New Roman" w:cs="Times New Roman"/>
          <w:sz w:val="24"/>
          <w:szCs w:val="24"/>
        </w:rPr>
      </w:pPr>
    </w:p>
    <w:p w:rsidR="00466C13" w:rsidRPr="00B13577" w:rsidRDefault="00466C13" w:rsidP="006E3809">
      <w:pPr>
        <w:spacing w:after="0"/>
        <w:rPr>
          <w:rFonts w:ascii="Times New Roman" w:hAnsi="Times New Roman" w:cs="Times New Roman"/>
          <w:b/>
          <w:sz w:val="24"/>
          <w:szCs w:val="24"/>
          <w:u w:val="single"/>
        </w:rPr>
      </w:pPr>
      <w:r w:rsidRPr="00B13577">
        <w:rPr>
          <w:rFonts w:ascii="Times New Roman" w:hAnsi="Times New Roman" w:cs="Times New Roman"/>
          <w:b/>
          <w:sz w:val="24"/>
          <w:szCs w:val="24"/>
          <w:u w:val="single"/>
        </w:rPr>
        <w:t>Policy 2210 – Accounts</w:t>
      </w:r>
    </w:p>
    <w:p w:rsidR="00466C13" w:rsidRPr="00B13577" w:rsidRDefault="00466C13" w:rsidP="006E3809">
      <w:pPr>
        <w:spacing w:after="0"/>
        <w:rPr>
          <w:rFonts w:ascii="Times New Roman" w:hAnsi="Times New Roman" w:cs="Times New Roman"/>
          <w:b/>
          <w:sz w:val="24"/>
          <w:szCs w:val="24"/>
          <w:u w:val="single"/>
        </w:rPr>
      </w:pPr>
      <w:r w:rsidRPr="00B13577">
        <w:rPr>
          <w:rFonts w:ascii="Times New Roman" w:hAnsi="Times New Roman" w:cs="Times New Roman"/>
          <w:b/>
          <w:sz w:val="24"/>
          <w:szCs w:val="24"/>
          <w:u w:val="single"/>
        </w:rPr>
        <w:t>2017-4</w:t>
      </w:r>
    </w:p>
    <w:p w:rsidR="00466C13" w:rsidRPr="00B13577" w:rsidRDefault="00466C13" w:rsidP="006E3809">
      <w:pPr>
        <w:spacing w:after="0"/>
        <w:rPr>
          <w:rFonts w:ascii="Times New Roman" w:hAnsi="Times New Roman" w:cs="Times New Roman"/>
          <w:color w:val="FF0000"/>
          <w:sz w:val="24"/>
          <w:szCs w:val="24"/>
        </w:rPr>
      </w:pPr>
      <w:r w:rsidRPr="00B13577">
        <w:rPr>
          <w:rFonts w:ascii="Times New Roman" w:hAnsi="Times New Roman" w:cs="Times New Roman"/>
          <w:sz w:val="24"/>
          <w:szCs w:val="24"/>
        </w:rPr>
        <w:t>This policy was amended to add money market accounts as an option</w:t>
      </w:r>
      <w:r w:rsidR="007543AE" w:rsidRPr="00B13577">
        <w:rPr>
          <w:rFonts w:ascii="Times New Roman" w:hAnsi="Times New Roman" w:cs="Times New Roman"/>
          <w:sz w:val="24"/>
          <w:szCs w:val="24"/>
        </w:rPr>
        <w:t>.  Credit unions should include this account type and respective account criteria for money market accounts under either share</w:t>
      </w:r>
      <w:r w:rsidRPr="00B13577">
        <w:rPr>
          <w:rFonts w:ascii="Times New Roman" w:hAnsi="Times New Roman" w:cs="Times New Roman"/>
          <w:sz w:val="24"/>
          <w:szCs w:val="24"/>
        </w:rPr>
        <w:t xml:space="preserve"> </w:t>
      </w:r>
      <w:r w:rsidR="007543AE" w:rsidRPr="00B13577">
        <w:rPr>
          <w:rFonts w:ascii="Times New Roman" w:hAnsi="Times New Roman" w:cs="Times New Roman"/>
          <w:sz w:val="24"/>
          <w:szCs w:val="24"/>
        </w:rPr>
        <w:t xml:space="preserve">or draft </w:t>
      </w:r>
      <w:r w:rsidRPr="00B13577">
        <w:rPr>
          <w:rFonts w:ascii="Times New Roman" w:hAnsi="Times New Roman" w:cs="Times New Roman"/>
          <w:sz w:val="24"/>
          <w:szCs w:val="24"/>
        </w:rPr>
        <w:t>accounts</w:t>
      </w:r>
      <w:r w:rsidR="007543AE" w:rsidRPr="00B13577">
        <w:rPr>
          <w:rFonts w:ascii="Times New Roman" w:hAnsi="Times New Roman" w:cs="Times New Roman"/>
          <w:sz w:val="24"/>
          <w:szCs w:val="24"/>
        </w:rPr>
        <w:t xml:space="preserve"> depending on how the accounts are maintained</w:t>
      </w:r>
      <w:r w:rsidRPr="00B13577">
        <w:rPr>
          <w:rFonts w:ascii="Times New Roman" w:hAnsi="Times New Roman" w:cs="Times New Roman"/>
          <w:sz w:val="24"/>
          <w:szCs w:val="24"/>
        </w:rPr>
        <w:t>.</w:t>
      </w:r>
      <w:r w:rsidR="00B13577">
        <w:rPr>
          <w:rFonts w:ascii="Times New Roman" w:hAnsi="Times New Roman" w:cs="Times New Roman"/>
          <w:sz w:val="24"/>
          <w:szCs w:val="24"/>
        </w:rPr>
        <w:t xml:space="preserve"> </w:t>
      </w:r>
      <w:r w:rsidR="003A49AD">
        <w:rPr>
          <w:rFonts w:ascii="Times New Roman" w:hAnsi="Times New Roman" w:cs="Times New Roman"/>
          <w:sz w:val="24"/>
          <w:szCs w:val="24"/>
        </w:rPr>
        <w:t xml:space="preserve">3 new Key Fields were added to this policy. </w:t>
      </w:r>
      <w:r w:rsidRPr="00B13577">
        <w:rPr>
          <w:rFonts w:ascii="Times New Roman" w:hAnsi="Times New Roman" w:cs="Times New Roman"/>
          <w:color w:val="FF0000"/>
          <w:sz w:val="24"/>
          <w:szCs w:val="24"/>
        </w:rPr>
        <w:t>(Recommended)</w:t>
      </w:r>
    </w:p>
    <w:p w:rsidR="00466C13" w:rsidRPr="00B13577" w:rsidRDefault="00466C13" w:rsidP="006E3809">
      <w:pPr>
        <w:spacing w:after="0"/>
        <w:rPr>
          <w:rFonts w:ascii="Times New Roman" w:hAnsi="Times New Roman" w:cs="Times New Roman"/>
          <w:b/>
          <w:sz w:val="24"/>
          <w:szCs w:val="24"/>
          <w:u w:val="single"/>
        </w:rPr>
      </w:pPr>
    </w:p>
    <w:p w:rsidR="006E3809" w:rsidRPr="00B13577" w:rsidRDefault="00934B0F" w:rsidP="006E3809">
      <w:pPr>
        <w:spacing w:after="0"/>
        <w:rPr>
          <w:rFonts w:ascii="Times New Roman" w:hAnsi="Times New Roman" w:cs="Times New Roman"/>
          <w:color w:val="FF0000"/>
          <w:sz w:val="24"/>
          <w:szCs w:val="24"/>
        </w:rPr>
      </w:pPr>
      <w:r w:rsidRPr="00B13577">
        <w:rPr>
          <w:rFonts w:ascii="Times New Roman" w:hAnsi="Times New Roman" w:cs="Times New Roman"/>
          <w:b/>
          <w:sz w:val="24"/>
          <w:szCs w:val="24"/>
          <w:u w:val="single"/>
        </w:rPr>
        <w:t>Policy 2232</w:t>
      </w:r>
      <w:r w:rsidR="006E3809" w:rsidRPr="00B13577">
        <w:rPr>
          <w:rFonts w:ascii="Times New Roman" w:hAnsi="Times New Roman" w:cs="Times New Roman"/>
          <w:b/>
          <w:sz w:val="24"/>
          <w:szCs w:val="24"/>
          <w:u w:val="single"/>
        </w:rPr>
        <w:t xml:space="preserve"> – </w:t>
      </w:r>
      <w:r w:rsidRPr="00B13577">
        <w:rPr>
          <w:rFonts w:ascii="Times New Roman" w:hAnsi="Times New Roman" w:cs="Times New Roman"/>
          <w:b/>
          <w:sz w:val="24"/>
          <w:szCs w:val="24"/>
          <w:u w:val="single"/>
        </w:rPr>
        <w:t>Member Expulsion</w:t>
      </w:r>
      <w:r w:rsidR="008867F3">
        <w:rPr>
          <w:rFonts w:ascii="Times New Roman" w:hAnsi="Times New Roman" w:cs="Times New Roman"/>
          <w:b/>
          <w:sz w:val="24"/>
          <w:szCs w:val="24"/>
          <w:u w:val="single"/>
        </w:rPr>
        <w:t xml:space="preserve"> (TITLE CHANGE)</w:t>
      </w:r>
    </w:p>
    <w:p w:rsidR="006E3809" w:rsidRPr="00B13577" w:rsidRDefault="006E3809" w:rsidP="006E3809">
      <w:pPr>
        <w:pStyle w:val="Default"/>
        <w:rPr>
          <w:b/>
          <w:color w:val="auto"/>
          <w:u w:val="single"/>
        </w:rPr>
      </w:pPr>
      <w:r w:rsidRPr="00B13577">
        <w:rPr>
          <w:b/>
          <w:color w:val="auto"/>
          <w:u w:val="single"/>
        </w:rPr>
        <w:t>2017-4</w:t>
      </w:r>
    </w:p>
    <w:p w:rsidR="006E3809" w:rsidRPr="00B13577" w:rsidRDefault="00934B0F" w:rsidP="006E3809">
      <w:pPr>
        <w:spacing w:after="0"/>
        <w:rPr>
          <w:rFonts w:ascii="Times New Roman" w:hAnsi="Times New Roman" w:cs="Times New Roman"/>
          <w:color w:val="FF0000"/>
          <w:sz w:val="24"/>
          <w:szCs w:val="24"/>
        </w:rPr>
      </w:pPr>
      <w:r w:rsidRPr="00B13577">
        <w:rPr>
          <w:rFonts w:ascii="Times New Roman" w:hAnsi="Times New Roman" w:cs="Times New Roman"/>
          <w:sz w:val="24"/>
          <w:szCs w:val="24"/>
        </w:rPr>
        <w:t>This policy is being revised to address situations in which Federal Credit Unions can expel members (special meeting of membership or nonparticipation).  Although this policy only indicates expulsion based on loss (through a special meeting), credit unions are encouraged to customize their policy accordingly, if they allow for termination of membership for other reasons.</w:t>
      </w:r>
      <w:r w:rsidR="008867F3">
        <w:rPr>
          <w:rFonts w:ascii="Times New Roman" w:hAnsi="Times New Roman" w:cs="Times New Roman"/>
          <w:sz w:val="24"/>
          <w:szCs w:val="24"/>
        </w:rPr>
        <w:t xml:space="preserve"> The title of this policy has been updated from “Loss Expulsion” to “Member Expulsion.”</w:t>
      </w:r>
      <w:r w:rsidR="00B13577">
        <w:rPr>
          <w:rFonts w:ascii="Times New Roman" w:hAnsi="Times New Roman" w:cs="Times New Roman"/>
          <w:sz w:val="24"/>
          <w:szCs w:val="24"/>
        </w:rPr>
        <w:t xml:space="preserve">  </w:t>
      </w:r>
      <w:r w:rsidR="006E3809" w:rsidRPr="00B13577">
        <w:rPr>
          <w:rFonts w:ascii="Times New Roman" w:hAnsi="Times New Roman" w:cs="Times New Roman"/>
          <w:color w:val="FF0000"/>
          <w:sz w:val="24"/>
          <w:szCs w:val="24"/>
        </w:rPr>
        <w:t>(</w:t>
      </w:r>
      <w:r w:rsidRPr="00B13577">
        <w:rPr>
          <w:rFonts w:ascii="Times New Roman" w:hAnsi="Times New Roman" w:cs="Times New Roman"/>
          <w:color w:val="FF0000"/>
          <w:sz w:val="24"/>
          <w:szCs w:val="24"/>
        </w:rPr>
        <w:t>Recommended</w:t>
      </w:r>
      <w:r w:rsidR="006E3809" w:rsidRPr="00B13577">
        <w:rPr>
          <w:rFonts w:ascii="Times New Roman" w:hAnsi="Times New Roman" w:cs="Times New Roman"/>
          <w:color w:val="FF0000"/>
          <w:sz w:val="24"/>
          <w:szCs w:val="24"/>
        </w:rPr>
        <w:t>)</w:t>
      </w:r>
    </w:p>
    <w:p w:rsidR="006E3809" w:rsidRPr="00B13577" w:rsidRDefault="006E3809" w:rsidP="002D1823">
      <w:pPr>
        <w:spacing w:after="0"/>
        <w:rPr>
          <w:rFonts w:ascii="Times New Roman" w:hAnsi="Times New Roman" w:cs="Times New Roman"/>
          <w:sz w:val="24"/>
          <w:szCs w:val="24"/>
        </w:rPr>
      </w:pPr>
    </w:p>
    <w:p w:rsidR="00934B0F" w:rsidRPr="00B13577" w:rsidRDefault="00934B0F" w:rsidP="00934B0F">
      <w:pPr>
        <w:spacing w:after="0"/>
        <w:rPr>
          <w:rFonts w:ascii="Times New Roman" w:hAnsi="Times New Roman" w:cs="Times New Roman"/>
          <w:color w:val="FF0000"/>
          <w:sz w:val="24"/>
          <w:szCs w:val="24"/>
        </w:rPr>
      </w:pPr>
      <w:r w:rsidRPr="00B13577">
        <w:rPr>
          <w:rFonts w:ascii="Times New Roman" w:hAnsi="Times New Roman" w:cs="Times New Roman"/>
          <w:b/>
          <w:sz w:val="24"/>
          <w:szCs w:val="24"/>
          <w:u w:val="single"/>
        </w:rPr>
        <w:t>Policy 2235 – Member Abuse</w:t>
      </w:r>
      <w:r w:rsidR="003A49AD">
        <w:rPr>
          <w:rFonts w:ascii="Times New Roman" w:hAnsi="Times New Roman" w:cs="Times New Roman"/>
          <w:b/>
          <w:sz w:val="24"/>
          <w:szCs w:val="24"/>
          <w:u w:val="single"/>
        </w:rPr>
        <w:t xml:space="preserve"> (TITLE CHANGE)</w:t>
      </w:r>
    </w:p>
    <w:p w:rsidR="00934B0F" w:rsidRPr="00B13577" w:rsidRDefault="00934B0F" w:rsidP="00934B0F">
      <w:pPr>
        <w:pStyle w:val="Default"/>
        <w:rPr>
          <w:b/>
          <w:color w:val="auto"/>
          <w:u w:val="single"/>
        </w:rPr>
      </w:pPr>
      <w:r w:rsidRPr="00B13577">
        <w:rPr>
          <w:b/>
          <w:color w:val="auto"/>
          <w:u w:val="single"/>
        </w:rPr>
        <w:t>2017-4</w:t>
      </w:r>
    </w:p>
    <w:p w:rsidR="00934B0F" w:rsidRPr="00B13577" w:rsidRDefault="00934B0F" w:rsidP="00934B0F">
      <w:pPr>
        <w:spacing w:after="0"/>
        <w:rPr>
          <w:rFonts w:ascii="Times New Roman" w:hAnsi="Times New Roman" w:cs="Times New Roman"/>
          <w:color w:val="FF0000"/>
          <w:sz w:val="24"/>
          <w:szCs w:val="24"/>
        </w:rPr>
      </w:pPr>
      <w:r w:rsidRPr="00B13577">
        <w:rPr>
          <w:rFonts w:ascii="Times New Roman" w:hAnsi="Times New Roman" w:cs="Times New Roman"/>
          <w:sz w:val="24"/>
          <w:szCs w:val="24"/>
        </w:rPr>
        <w:t>This policy is being revised to address situations of member abuse.  This policy should be customized by the credit union to limit services, expel members, or both.  Federal credit unions who wish to expel members who are abusive, would be required to go through the process of holding a special meeting of the membership.  Therefore, the policy is geared towards limiting services for Federal Charters, although the last section for Board Meetings can be further customized if necessary.</w:t>
      </w:r>
      <w:r w:rsidR="00B13577">
        <w:rPr>
          <w:rFonts w:ascii="Times New Roman" w:hAnsi="Times New Roman" w:cs="Times New Roman"/>
          <w:sz w:val="24"/>
          <w:szCs w:val="24"/>
        </w:rPr>
        <w:t xml:space="preserve">  </w:t>
      </w:r>
      <w:r w:rsidR="003A49AD">
        <w:rPr>
          <w:rFonts w:ascii="Times New Roman" w:hAnsi="Times New Roman" w:cs="Times New Roman"/>
          <w:sz w:val="24"/>
          <w:szCs w:val="24"/>
        </w:rPr>
        <w:t xml:space="preserve">The title of this policy has been updated from “Member Harassment Expulsion” to “Member Abuse.”  </w:t>
      </w:r>
      <w:r w:rsidRPr="00B13577">
        <w:rPr>
          <w:rFonts w:ascii="Times New Roman" w:hAnsi="Times New Roman" w:cs="Times New Roman"/>
          <w:color w:val="FF0000"/>
          <w:sz w:val="24"/>
          <w:szCs w:val="24"/>
        </w:rPr>
        <w:t>(Recommended)</w:t>
      </w:r>
    </w:p>
    <w:p w:rsidR="006E3809" w:rsidRPr="00B13577" w:rsidRDefault="006E3809" w:rsidP="002D1823">
      <w:pPr>
        <w:spacing w:after="0"/>
        <w:rPr>
          <w:rFonts w:ascii="Times New Roman" w:hAnsi="Times New Roman" w:cs="Times New Roman"/>
          <w:sz w:val="24"/>
          <w:szCs w:val="24"/>
        </w:rPr>
      </w:pPr>
    </w:p>
    <w:p w:rsidR="003A49AD" w:rsidRDefault="003A49A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70395" w:rsidRPr="00B13577" w:rsidRDefault="00370395" w:rsidP="00370395">
      <w:pPr>
        <w:spacing w:after="0"/>
        <w:rPr>
          <w:rFonts w:ascii="Times New Roman" w:hAnsi="Times New Roman" w:cs="Times New Roman"/>
          <w:color w:val="FF0000"/>
          <w:sz w:val="24"/>
          <w:szCs w:val="24"/>
        </w:rPr>
      </w:pPr>
      <w:r w:rsidRPr="00B13577">
        <w:rPr>
          <w:rFonts w:ascii="Times New Roman" w:hAnsi="Times New Roman" w:cs="Times New Roman"/>
          <w:b/>
          <w:sz w:val="24"/>
          <w:szCs w:val="24"/>
          <w:u w:val="single"/>
        </w:rPr>
        <w:lastRenderedPageBreak/>
        <w:t>Policy 2610 – ACH Operations</w:t>
      </w:r>
    </w:p>
    <w:p w:rsidR="00370395" w:rsidRPr="00B13577" w:rsidRDefault="00370395" w:rsidP="00370395">
      <w:pPr>
        <w:pStyle w:val="Default"/>
        <w:rPr>
          <w:b/>
          <w:color w:val="auto"/>
          <w:u w:val="single"/>
        </w:rPr>
      </w:pPr>
      <w:r w:rsidRPr="00B13577">
        <w:rPr>
          <w:b/>
          <w:color w:val="auto"/>
          <w:u w:val="single"/>
        </w:rPr>
        <w:t>2017-4</w:t>
      </w:r>
    </w:p>
    <w:p w:rsidR="00370395" w:rsidRPr="00B13577" w:rsidRDefault="00370395" w:rsidP="00370395">
      <w:pPr>
        <w:spacing w:after="0"/>
        <w:rPr>
          <w:rFonts w:ascii="Times New Roman" w:hAnsi="Times New Roman" w:cs="Times New Roman"/>
          <w:color w:val="FF0000"/>
          <w:sz w:val="24"/>
          <w:szCs w:val="24"/>
        </w:rPr>
      </w:pPr>
      <w:r w:rsidRPr="00B13577">
        <w:rPr>
          <w:rFonts w:ascii="Times New Roman" w:hAnsi="Times New Roman" w:cs="Times New Roman"/>
          <w:sz w:val="24"/>
          <w:szCs w:val="24"/>
        </w:rPr>
        <w:t xml:space="preserve">Effective on September 29, 2017 the </w:t>
      </w:r>
      <w:hyperlink r:id="rId9" w:history="1">
        <w:r w:rsidRPr="00B13577">
          <w:rPr>
            <w:rStyle w:val="Hyperlink"/>
            <w:rFonts w:ascii="Times New Roman" w:hAnsi="Times New Roman" w:cs="Times New Roman"/>
            <w:sz w:val="24"/>
            <w:szCs w:val="24"/>
          </w:rPr>
          <w:t>NACHA registry</w:t>
        </w:r>
      </w:hyperlink>
      <w:r w:rsidRPr="00B13577">
        <w:rPr>
          <w:rFonts w:ascii="Times New Roman" w:hAnsi="Times New Roman" w:cs="Times New Roman"/>
          <w:sz w:val="24"/>
          <w:szCs w:val="24"/>
        </w:rPr>
        <w:t xml:space="preserve"> will be available for Credit Union ODFIs to register their Third-Party Senders.  NACHA is allowing an implementation period through March 1, 2018 to complete registrations.  This policy was revised to reflect the requirement to register these members.</w:t>
      </w:r>
      <w:r w:rsidR="00B13577">
        <w:rPr>
          <w:rFonts w:ascii="Times New Roman" w:hAnsi="Times New Roman" w:cs="Times New Roman"/>
          <w:sz w:val="24"/>
          <w:szCs w:val="24"/>
        </w:rPr>
        <w:t xml:space="preserve">  </w:t>
      </w:r>
      <w:r w:rsidRPr="00B13577">
        <w:rPr>
          <w:rFonts w:ascii="Times New Roman" w:hAnsi="Times New Roman" w:cs="Times New Roman"/>
          <w:color w:val="FF0000"/>
          <w:sz w:val="24"/>
          <w:szCs w:val="24"/>
        </w:rPr>
        <w:t>(Required)</w:t>
      </w:r>
    </w:p>
    <w:p w:rsidR="00370395" w:rsidRPr="00B13577" w:rsidRDefault="00370395" w:rsidP="00370395">
      <w:pPr>
        <w:spacing w:after="0"/>
        <w:rPr>
          <w:rFonts w:ascii="Times New Roman" w:hAnsi="Times New Roman" w:cs="Times New Roman"/>
          <w:color w:val="FF0000"/>
          <w:sz w:val="24"/>
          <w:szCs w:val="24"/>
        </w:rPr>
      </w:pPr>
    </w:p>
    <w:p w:rsidR="00370395" w:rsidRPr="00B13577" w:rsidRDefault="00370395" w:rsidP="00370395">
      <w:pPr>
        <w:spacing w:after="0"/>
        <w:rPr>
          <w:rFonts w:ascii="Times New Roman" w:hAnsi="Times New Roman" w:cs="Times New Roman"/>
          <w:color w:val="FF0000"/>
          <w:sz w:val="24"/>
          <w:szCs w:val="24"/>
        </w:rPr>
      </w:pPr>
      <w:r w:rsidRPr="00B13577">
        <w:rPr>
          <w:rFonts w:ascii="Times New Roman" w:hAnsi="Times New Roman" w:cs="Times New Roman"/>
          <w:b/>
          <w:sz w:val="24"/>
          <w:szCs w:val="24"/>
          <w:u w:val="single"/>
        </w:rPr>
        <w:t>Policy 2611 – ACH Management</w:t>
      </w:r>
    </w:p>
    <w:p w:rsidR="00370395" w:rsidRPr="00B13577" w:rsidRDefault="00370395" w:rsidP="00370395">
      <w:pPr>
        <w:pStyle w:val="Default"/>
        <w:rPr>
          <w:b/>
          <w:color w:val="auto"/>
          <w:u w:val="single"/>
        </w:rPr>
      </w:pPr>
      <w:r w:rsidRPr="00B13577">
        <w:rPr>
          <w:b/>
          <w:color w:val="auto"/>
          <w:u w:val="single"/>
        </w:rPr>
        <w:t>2017-4</w:t>
      </w:r>
    </w:p>
    <w:p w:rsidR="00370395" w:rsidRPr="00B13577" w:rsidRDefault="00370395" w:rsidP="00370395">
      <w:pPr>
        <w:spacing w:after="0"/>
        <w:rPr>
          <w:rFonts w:ascii="Times New Roman" w:hAnsi="Times New Roman" w:cs="Times New Roman"/>
          <w:color w:val="FF0000"/>
          <w:sz w:val="24"/>
          <w:szCs w:val="24"/>
        </w:rPr>
      </w:pPr>
      <w:r w:rsidRPr="00B13577">
        <w:rPr>
          <w:rFonts w:ascii="Times New Roman" w:hAnsi="Times New Roman" w:cs="Times New Roman"/>
          <w:sz w:val="24"/>
          <w:szCs w:val="24"/>
        </w:rPr>
        <w:t xml:space="preserve">Effective on September 29, 2017 the </w:t>
      </w:r>
      <w:hyperlink r:id="rId10" w:history="1">
        <w:r w:rsidRPr="00B13577">
          <w:rPr>
            <w:rStyle w:val="Hyperlink"/>
            <w:rFonts w:ascii="Times New Roman" w:hAnsi="Times New Roman" w:cs="Times New Roman"/>
            <w:sz w:val="24"/>
            <w:szCs w:val="24"/>
          </w:rPr>
          <w:t>NACHA registry</w:t>
        </w:r>
      </w:hyperlink>
      <w:r w:rsidRPr="00B13577">
        <w:rPr>
          <w:rFonts w:ascii="Times New Roman" w:hAnsi="Times New Roman" w:cs="Times New Roman"/>
          <w:sz w:val="24"/>
          <w:szCs w:val="24"/>
        </w:rPr>
        <w:t xml:space="preserve"> will be available for Credit Union ODFIs to register their Third-Party Senders.  NACHA is allowing an implementation period through March 1, 2018 to complete registrations.  This policy was revised to reflect the requirement to register these members.</w:t>
      </w:r>
      <w:r w:rsidR="00B13577">
        <w:rPr>
          <w:rFonts w:ascii="Times New Roman" w:hAnsi="Times New Roman" w:cs="Times New Roman"/>
          <w:sz w:val="24"/>
          <w:szCs w:val="24"/>
        </w:rPr>
        <w:t xml:space="preserve">  </w:t>
      </w:r>
      <w:r w:rsidRPr="00B13577">
        <w:rPr>
          <w:rFonts w:ascii="Times New Roman" w:hAnsi="Times New Roman" w:cs="Times New Roman"/>
          <w:color w:val="FF0000"/>
          <w:sz w:val="24"/>
          <w:szCs w:val="24"/>
        </w:rPr>
        <w:t>(Required)</w:t>
      </w:r>
    </w:p>
    <w:p w:rsidR="00370395" w:rsidRPr="00B13577" w:rsidRDefault="00370395" w:rsidP="00370395">
      <w:pPr>
        <w:spacing w:after="0"/>
        <w:rPr>
          <w:rFonts w:ascii="Times New Roman" w:hAnsi="Times New Roman" w:cs="Times New Roman"/>
          <w:color w:val="FF0000"/>
          <w:sz w:val="24"/>
          <w:szCs w:val="24"/>
        </w:rPr>
      </w:pPr>
    </w:p>
    <w:p w:rsidR="00370395" w:rsidRPr="00B13577" w:rsidRDefault="00370395" w:rsidP="00B13577">
      <w:pPr>
        <w:rPr>
          <w:rFonts w:ascii="Times New Roman" w:hAnsi="Times New Roman" w:cs="Times New Roman"/>
          <w:color w:val="FF0000"/>
          <w:sz w:val="24"/>
          <w:szCs w:val="24"/>
        </w:rPr>
      </w:pPr>
      <w:r w:rsidRPr="00B13577">
        <w:rPr>
          <w:rFonts w:ascii="Times New Roman" w:hAnsi="Times New Roman" w:cs="Times New Roman"/>
          <w:b/>
          <w:sz w:val="24"/>
          <w:szCs w:val="24"/>
          <w:u w:val="single"/>
        </w:rPr>
        <w:t>Policy 2612 – ACH Audit</w:t>
      </w:r>
      <w:r w:rsidR="00B13577">
        <w:rPr>
          <w:rFonts w:ascii="Times New Roman" w:hAnsi="Times New Roman" w:cs="Times New Roman"/>
          <w:b/>
          <w:sz w:val="24"/>
          <w:szCs w:val="24"/>
          <w:u w:val="single"/>
        </w:rPr>
        <w:br/>
      </w:r>
      <w:r w:rsidRPr="00B13577">
        <w:rPr>
          <w:rFonts w:ascii="Times New Roman" w:hAnsi="Times New Roman" w:cs="Times New Roman"/>
          <w:b/>
          <w:sz w:val="24"/>
          <w:szCs w:val="24"/>
          <w:u w:val="single"/>
        </w:rPr>
        <w:t>2017-4</w:t>
      </w:r>
      <w:r w:rsidR="00B13577">
        <w:rPr>
          <w:rFonts w:ascii="Times New Roman" w:hAnsi="Times New Roman" w:cs="Times New Roman"/>
          <w:color w:val="FF0000"/>
          <w:sz w:val="24"/>
          <w:szCs w:val="24"/>
        </w:rPr>
        <w:br/>
      </w:r>
      <w:r w:rsidRPr="00B13577">
        <w:rPr>
          <w:rFonts w:ascii="Times New Roman" w:hAnsi="Times New Roman" w:cs="Times New Roman"/>
          <w:sz w:val="24"/>
          <w:szCs w:val="24"/>
        </w:rPr>
        <w:t xml:space="preserve">Effective on September 29, 2017 the </w:t>
      </w:r>
      <w:hyperlink r:id="rId11" w:history="1">
        <w:r w:rsidRPr="00B13577">
          <w:rPr>
            <w:rStyle w:val="Hyperlink"/>
            <w:rFonts w:ascii="Times New Roman" w:hAnsi="Times New Roman" w:cs="Times New Roman"/>
            <w:sz w:val="24"/>
            <w:szCs w:val="24"/>
          </w:rPr>
          <w:t>NACHA registry</w:t>
        </w:r>
      </w:hyperlink>
      <w:r w:rsidRPr="00B13577">
        <w:rPr>
          <w:rFonts w:ascii="Times New Roman" w:hAnsi="Times New Roman" w:cs="Times New Roman"/>
          <w:sz w:val="24"/>
          <w:szCs w:val="24"/>
        </w:rPr>
        <w:t xml:space="preserve"> will be available for Credit Union ODFIs to register their Third-Party Senders.  NACHA is allowing an implementation period through March 1, 2018 to complete registrations.  This policy was revised to reflect the requirement to register these members.</w:t>
      </w:r>
      <w:r w:rsidR="00B13577">
        <w:rPr>
          <w:rFonts w:ascii="Times New Roman" w:hAnsi="Times New Roman" w:cs="Times New Roman"/>
          <w:sz w:val="24"/>
          <w:szCs w:val="24"/>
        </w:rPr>
        <w:t xml:space="preserve">  </w:t>
      </w:r>
      <w:r w:rsidRPr="00B13577">
        <w:rPr>
          <w:rFonts w:ascii="Times New Roman" w:hAnsi="Times New Roman" w:cs="Times New Roman"/>
          <w:color w:val="FF0000"/>
          <w:sz w:val="24"/>
          <w:szCs w:val="24"/>
        </w:rPr>
        <w:t>(Required)</w:t>
      </w:r>
    </w:p>
    <w:p w:rsidR="00F66B4A" w:rsidRPr="00B13577" w:rsidRDefault="00F66B4A" w:rsidP="00B13577">
      <w:pPr>
        <w:rPr>
          <w:rFonts w:ascii="Times New Roman" w:hAnsi="Times New Roman" w:cs="Times New Roman"/>
          <w:b/>
          <w:sz w:val="24"/>
          <w:szCs w:val="24"/>
          <w:u w:val="single"/>
        </w:rPr>
      </w:pPr>
      <w:r w:rsidRPr="00B13577">
        <w:rPr>
          <w:rFonts w:ascii="Times New Roman" w:hAnsi="Times New Roman" w:cs="Times New Roman"/>
          <w:b/>
          <w:sz w:val="24"/>
          <w:szCs w:val="24"/>
          <w:u w:val="single"/>
        </w:rPr>
        <w:t>Policy 3155 – Travel Reimbursement</w:t>
      </w:r>
      <w:r w:rsidR="00B13577">
        <w:rPr>
          <w:rFonts w:ascii="Times New Roman" w:hAnsi="Times New Roman" w:cs="Times New Roman"/>
          <w:b/>
          <w:sz w:val="24"/>
          <w:szCs w:val="24"/>
          <w:u w:val="single"/>
        </w:rPr>
        <w:br/>
      </w:r>
      <w:r w:rsidRPr="00B13577">
        <w:rPr>
          <w:rFonts w:ascii="Times New Roman" w:hAnsi="Times New Roman" w:cs="Times New Roman"/>
          <w:b/>
          <w:sz w:val="24"/>
          <w:szCs w:val="24"/>
          <w:u w:val="single"/>
        </w:rPr>
        <w:t>2017-4</w:t>
      </w:r>
      <w:r w:rsidR="00B13577">
        <w:rPr>
          <w:rFonts w:ascii="Times New Roman" w:hAnsi="Times New Roman" w:cs="Times New Roman"/>
          <w:b/>
          <w:sz w:val="24"/>
          <w:szCs w:val="24"/>
          <w:u w:val="single"/>
        </w:rPr>
        <w:br/>
      </w:r>
      <w:r w:rsidRPr="00B13577">
        <w:rPr>
          <w:rFonts w:ascii="Times New Roman" w:hAnsi="Times New Roman" w:cs="Times New Roman"/>
          <w:sz w:val="24"/>
          <w:szCs w:val="24"/>
        </w:rPr>
        <w:t>In order to avoid confusion and duplication within the policy, Section 4B was removed (related to allowance for companion travel) and included with Section 10.</w:t>
      </w:r>
      <w:r w:rsidR="009B1BF5" w:rsidRPr="00B13577">
        <w:rPr>
          <w:rFonts w:ascii="Times New Roman" w:hAnsi="Times New Roman" w:cs="Times New Roman"/>
          <w:sz w:val="24"/>
          <w:szCs w:val="24"/>
        </w:rPr>
        <w:t xml:space="preserve">  Cross-reference was also made in Section 6 to the Credit Union Owned Credit Card Policy (3115).</w:t>
      </w:r>
      <w:r w:rsidR="00B13577">
        <w:rPr>
          <w:rFonts w:ascii="Times New Roman" w:hAnsi="Times New Roman" w:cs="Times New Roman"/>
          <w:sz w:val="24"/>
          <w:szCs w:val="24"/>
        </w:rPr>
        <w:t xml:space="preserve">  </w:t>
      </w:r>
      <w:r w:rsidRPr="00B13577">
        <w:rPr>
          <w:rFonts w:ascii="Times New Roman" w:hAnsi="Times New Roman" w:cs="Times New Roman"/>
          <w:color w:val="FF0000"/>
          <w:sz w:val="24"/>
          <w:szCs w:val="24"/>
        </w:rPr>
        <w:t>(Recommended)</w:t>
      </w:r>
    </w:p>
    <w:p w:rsidR="00B60AE5" w:rsidRPr="00B13577" w:rsidRDefault="00B60AE5" w:rsidP="00B13577">
      <w:pPr>
        <w:rPr>
          <w:rFonts w:ascii="Times New Roman" w:hAnsi="Times New Roman" w:cs="Times New Roman"/>
          <w:color w:val="FF0000"/>
          <w:sz w:val="24"/>
          <w:szCs w:val="24"/>
        </w:rPr>
      </w:pPr>
      <w:r w:rsidRPr="00B13577">
        <w:rPr>
          <w:rFonts w:ascii="Times New Roman" w:hAnsi="Times New Roman" w:cs="Times New Roman"/>
          <w:b/>
          <w:sz w:val="24"/>
          <w:szCs w:val="24"/>
          <w:u w:val="single"/>
        </w:rPr>
        <w:t>Policy 3160 – Unclaimed Property</w:t>
      </w:r>
      <w:r w:rsidR="00B13577">
        <w:rPr>
          <w:rFonts w:ascii="Times New Roman" w:hAnsi="Times New Roman" w:cs="Times New Roman"/>
          <w:b/>
          <w:sz w:val="24"/>
          <w:szCs w:val="24"/>
          <w:u w:val="single"/>
        </w:rPr>
        <w:br/>
      </w:r>
      <w:r w:rsidRPr="00B13577">
        <w:rPr>
          <w:rFonts w:ascii="Times New Roman" w:hAnsi="Times New Roman" w:cs="Times New Roman"/>
          <w:b/>
          <w:sz w:val="24"/>
          <w:szCs w:val="24"/>
          <w:u w:val="single"/>
        </w:rPr>
        <w:t>2017-4</w:t>
      </w:r>
      <w:r w:rsidR="00B13577">
        <w:rPr>
          <w:rFonts w:ascii="Times New Roman" w:hAnsi="Times New Roman" w:cs="Times New Roman"/>
          <w:b/>
          <w:sz w:val="24"/>
          <w:szCs w:val="24"/>
          <w:u w:val="single"/>
        </w:rPr>
        <w:br/>
      </w:r>
      <w:proofErr w:type="gramStart"/>
      <w:r w:rsidRPr="00B13577">
        <w:rPr>
          <w:rFonts w:ascii="Times New Roman" w:hAnsi="Times New Roman" w:cs="Times New Roman"/>
          <w:sz w:val="24"/>
          <w:szCs w:val="24"/>
        </w:rPr>
        <w:t>This</w:t>
      </w:r>
      <w:proofErr w:type="gramEnd"/>
      <w:r w:rsidRPr="00B13577">
        <w:rPr>
          <w:rFonts w:ascii="Times New Roman" w:hAnsi="Times New Roman" w:cs="Times New Roman"/>
          <w:sz w:val="24"/>
          <w:szCs w:val="24"/>
        </w:rPr>
        <w:t xml:space="preserve"> policy was revised to remove the record retention requirements and reference the applicable record retention policy.  Having one policy to maintain the timeframes for record retention will better mitigate any potential inconsistencies.</w:t>
      </w:r>
      <w:r w:rsidR="00B13577">
        <w:rPr>
          <w:rFonts w:ascii="Times New Roman" w:hAnsi="Times New Roman" w:cs="Times New Roman"/>
          <w:sz w:val="24"/>
          <w:szCs w:val="24"/>
        </w:rPr>
        <w:t xml:space="preserve">  </w:t>
      </w:r>
      <w:r w:rsidRPr="00B13577">
        <w:rPr>
          <w:rFonts w:ascii="Times New Roman" w:hAnsi="Times New Roman" w:cs="Times New Roman"/>
          <w:color w:val="FF0000"/>
          <w:sz w:val="24"/>
          <w:szCs w:val="24"/>
        </w:rPr>
        <w:t>(Recommended)</w:t>
      </w:r>
    </w:p>
    <w:p w:rsidR="00B13577" w:rsidRPr="00B13577" w:rsidRDefault="00B13577" w:rsidP="00B13577">
      <w:pPr>
        <w:rPr>
          <w:rFonts w:ascii="Times New Roman" w:hAnsi="Times New Roman" w:cs="Times New Roman"/>
          <w:sz w:val="24"/>
          <w:szCs w:val="24"/>
        </w:rPr>
      </w:pPr>
      <w:r w:rsidRPr="00B13577">
        <w:rPr>
          <w:rFonts w:ascii="Times New Roman" w:hAnsi="Times New Roman" w:cs="Times New Roman"/>
          <w:b/>
          <w:bCs/>
          <w:sz w:val="24"/>
          <w:szCs w:val="24"/>
          <w:u w:val="single"/>
        </w:rPr>
        <w:t>Policy 3165 – Loan Workouts and Nonaccrual Standards</w:t>
      </w:r>
      <w:r w:rsidRPr="00B13577">
        <w:rPr>
          <w:rFonts w:ascii="Times New Roman" w:hAnsi="Times New Roman" w:cs="Times New Roman"/>
          <w:b/>
          <w:bCs/>
          <w:sz w:val="24"/>
          <w:szCs w:val="24"/>
          <w:u w:val="single"/>
        </w:rPr>
        <w:br/>
        <w:t>2017-4</w:t>
      </w:r>
      <w:r w:rsidRPr="00B13577">
        <w:rPr>
          <w:rFonts w:ascii="Times New Roman" w:hAnsi="Times New Roman" w:cs="Times New Roman"/>
          <w:b/>
          <w:bCs/>
          <w:sz w:val="24"/>
          <w:szCs w:val="24"/>
          <w:u w:val="single"/>
        </w:rPr>
        <w:br/>
      </w:r>
      <w:r w:rsidRPr="00B13577">
        <w:rPr>
          <w:rFonts w:ascii="Times New Roman" w:hAnsi="Times New Roman" w:cs="Times New Roman"/>
          <w:sz w:val="24"/>
          <w:szCs w:val="24"/>
        </w:rPr>
        <w:t xml:space="preserve">Updates were made in Sections 7 and 8 for clarity and corrections were made for tense and punctuation.  </w:t>
      </w:r>
      <w:r w:rsidRPr="00B13577">
        <w:rPr>
          <w:rFonts w:ascii="Times New Roman" w:hAnsi="Times New Roman" w:cs="Times New Roman"/>
          <w:color w:val="FF0000"/>
          <w:sz w:val="24"/>
          <w:szCs w:val="24"/>
        </w:rPr>
        <w:t>(Recommended)</w:t>
      </w:r>
    </w:p>
    <w:p w:rsidR="00917AA1" w:rsidRPr="00B13577" w:rsidRDefault="00917AA1" w:rsidP="00B13577">
      <w:pPr>
        <w:rPr>
          <w:rFonts w:ascii="Times New Roman" w:hAnsi="Times New Roman" w:cs="Times New Roman"/>
          <w:color w:val="FF0000"/>
          <w:sz w:val="24"/>
          <w:szCs w:val="24"/>
        </w:rPr>
      </w:pPr>
      <w:r w:rsidRPr="00B13577">
        <w:rPr>
          <w:rFonts w:ascii="Times New Roman" w:hAnsi="Times New Roman" w:cs="Times New Roman"/>
          <w:b/>
          <w:sz w:val="24"/>
          <w:szCs w:val="24"/>
          <w:u w:val="single"/>
        </w:rPr>
        <w:t>Policy 7100 – General Lending Policy</w:t>
      </w:r>
      <w:r w:rsidR="00B13577">
        <w:rPr>
          <w:rFonts w:ascii="Times New Roman" w:hAnsi="Times New Roman" w:cs="Times New Roman"/>
          <w:b/>
          <w:sz w:val="24"/>
          <w:szCs w:val="24"/>
          <w:u w:val="single"/>
        </w:rPr>
        <w:br/>
      </w:r>
      <w:r w:rsidRPr="00B13577">
        <w:rPr>
          <w:rFonts w:ascii="Times New Roman" w:hAnsi="Times New Roman" w:cs="Times New Roman"/>
          <w:b/>
          <w:sz w:val="24"/>
          <w:szCs w:val="24"/>
          <w:u w:val="single"/>
        </w:rPr>
        <w:t>2017-4</w:t>
      </w:r>
      <w:r w:rsidR="00B13577">
        <w:rPr>
          <w:rFonts w:ascii="Times New Roman" w:hAnsi="Times New Roman" w:cs="Times New Roman"/>
          <w:b/>
          <w:sz w:val="24"/>
          <w:szCs w:val="24"/>
          <w:u w:val="single"/>
        </w:rPr>
        <w:br/>
      </w:r>
      <w:proofErr w:type="gramStart"/>
      <w:r w:rsidRPr="00B13577">
        <w:rPr>
          <w:rFonts w:ascii="Times New Roman" w:hAnsi="Times New Roman" w:cs="Times New Roman"/>
          <w:sz w:val="24"/>
          <w:szCs w:val="24"/>
        </w:rPr>
        <w:t>This</w:t>
      </w:r>
      <w:proofErr w:type="gramEnd"/>
      <w:r w:rsidRPr="00B13577">
        <w:rPr>
          <w:rFonts w:ascii="Times New Roman" w:hAnsi="Times New Roman" w:cs="Times New Roman"/>
          <w:sz w:val="24"/>
          <w:szCs w:val="24"/>
        </w:rPr>
        <w:t xml:space="preserve"> policy was updated to include general information surrounding preventing and detecting fraud, including the </w:t>
      </w:r>
      <w:hyperlink r:id="rId12" w:history="1">
        <w:r w:rsidRPr="00B13577">
          <w:rPr>
            <w:rStyle w:val="Hyperlink"/>
            <w:rFonts w:ascii="Times New Roman" w:hAnsi="Times New Roman" w:cs="Times New Roman"/>
            <w:sz w:val="24"/>
            <w:szCs w:val="24"/>
          </w:rPr>
          <w:t>segregation of duties</w:t>
        </w:r>
      </w:hyperlink>
      <w:r w:rsidRPr="00B13577">
        <w:rPr>
          <w:rFonts w:ascii="Times New Roman" w:hAnsi="Times New Roman" w:cs="Times New Roman"/>
          <w:sz w:val="24"/>
          <w:szCs w:val="24"/>
        </w:rPr>
        <w:t xml:space="preserve"> for credit unions using automated underwriting systems.</w:t>
      </w:r>
      <w:r w:rsidR="00B13577">
        <w:rPr>
          <w:rFonts w:ascii="Times New Roman" w:hAnsi="Times New Roman" w:cs="Times New Roman"/>
          <w:sz w:val="24"/>
          <w:szCs w:val="24"/>
        </w:rPr>
        <w:t xml:space="preserve">  </w:t>
      </w:r>
      <w:r w:rsidRPr="00B13577">
        <w:rPr>
          <w:rFonts w:ascii="Times New Roman" w:hAnsi="Times New Roman" w:cs="Times New Roman"/>
          <w:color w:val="FF0000"/>
          <w:sz w:val="24"/>
          <w:szCs w:val="24"/>
        </w:rPr>
        <w:t>(Recommended)</w:t>
      </w:r>
    </w:p>
    <w:p w:rsidR="00917743" w:rsidRPr="00B13577" w:rsidRDefault="00917743" w:rsidP="00B13577">
      <w:pPr>
        <w:rPr>
          <w:rFonts w:ascii="Times New Roman" w:hAnsi="Times New Roman" w:cs="Times New Roman"/>
          <w:color w:val="FF0000"/>
          <w:sz w:val="24"/>
          <w:szCs w:val="24"/>
        </w:rPr>
      </w:pPr>
      <w:r w:rsidRPr="00B13577">
        <w:rPr>
          <w:rFonts w:ascii="Times New Roman" w:hAnsi="Times New Roman" w:cs="Times New Roman"/>
          <w:b/>
          <w:sz w:val="24"/>
          <w:szCs w:val="24"/>
          <w:u w:val="single"/>
        </w:rPr>
        <w:t>Policy 7120 – Fair Lending</w:t>
      </w:r>
      <w:r w:rsidR="00B13577">
        <w:rPr>
          <w:rFonts w:ascii="Times New Roman" w:hAnsi="Times New Roman" w:cs="Times New Roman"/>
          <w:b/>
          <w:sz w:val="24"/>
          <w:szCs w:val="24"/>
          <w:u w:val="single"/>
        </w:rPr>
        <w:br/>
      </w:r>
      <w:r w:rsidRPr="00B13577">
        <w:rPr>
          <w:rFonts w:ascii="Times New Roman" w:hAnsi="Times New Roman" w:cs="Times New Roman"/>
          <w:b/>
          <w:sz w:val="24"/>
          <w:szCs w:val="24"/>
          <w:u w:val="single"/>
        </w:rPr>
        <w:t>2017-4</w:t>
      </w:r>
      <w:r w:rsidR="00B13577">
        <w:rPr>
          <w:rFonts w:ascii="Times New Roman" w:hAnsi="Times New Roman" w:cs="Times New Roman"/>
          <w:color w:val="FF0000"/>
          <w:sz w:val="24"/>
          <w:szCs w:val="24"/>
        </w:rPr>
        <w:br/>
      </w:r>
      <w:proofErr w:type="gramStart"/>
      <w:r w:rsidRPr="00B13577">
        <w:rPr>
          <w:rFonts w:ascii="Times New Roman" w:hAnsi="Times New Roman" w:cs="Times New Roman"/>
          <w:sz w:val="24"/>
          <w:szCs w:val="24"/>
        </w:rPr>
        <w:t>This</w:t>
      </w:r>
      <w:proofErr w:type="gramEnd"/>
      <w:r w:rsidRPr="00B13577">
        <w:rPr>
          <w:rFonts w:ascii="Times New Roman" w:hAnsi="Times New Roman" w:cs="Times New Roman"/>
          <w:sz w:val="24"/>
          <w:szCs w:val="24"/>
        </w:rPr>
        <w:t xml:space="preserve"> policy was updated to correct a reference to NCUA rules.</w:t>
      </w:r>
      <w:r w:rsidR="00B13577">
        <w:rPr>
          <w:rFonts w:ascii="Times New Roman" w:hAnsi="Times New Roman" w:cs="Times New Roman"/>
          <w:sz w:val="24"/>
          <w:szCs w:val="24"/>
        </w:rPr>
        <w:t xml:space="preserve">  </w:t>
      </w:r>
      <w:r w:rsidRPr="00B13577">
        <w:rPr>
          <w:rFonts w:ascii="Times New Roman" w:hAnsi="Times New Roman" w:cs="Times New Roman"/>
          <w:color w:val="FF0000"/>
          <w:sz w:val="24"/>
          <w:szCs w:val="24"/>
        </w:rPr>
        <w:t>(Recommended)</w:t>
      </w:r>
    </w:p>
    <w:p w:rsidR="003A49AD" w:rsidRDefault="003A49A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2B1659" w:rsidRPr="00B13577" w:rsidRDefault="002B1659" w:rsidP="002B1659">
      <w:pPr>
        <w:spacing w:after="0"/>
        <w:rPr>
          <w:rFonts w:ascii="Times New Roman" w:hAnsi="Times New Roman" w:cs="Times New Roman"/>
          <w:b/>
          <w:sz w:val="24"/>
          <w:szCs w:val="24"/>
          <w:u w:val="single"/>
        </w:rPr>
      </w:pPr>
      <w:r w:rsidRPr="00B13577">
        <w:rPr>
          <w:rFonts w:ascii="Times New Roman" w:hAnsi="Times New Roman" w:cs="Times New Roman"/>
          <w:b/>
          <w:sz w:val="24"/>
          <w:szCs w:val="24"/>
          <w:u w:val="single"/>
        </w:rPr>
        <w:lastRenderedPageBreak/>
        <w:t xml:space="preserve">Policy </w:t>
      </w:r>
      <w:r w:rsidR="00062695" w:rsidRPr="00B13577">
        <w:rPr>
          <w:rFonts w:ascii="Times New Roman" w:hAnsi="Times New Roman" w:cs="Times New Roman"/>
          <w:b/>
          <w:sz w:val="24"/>
          <w:szCs w:val="24"/>
          <w:u w:val="single"/>
        </w:rPr>
        <w:t>9200 – Home Mortgage Disclosure Act – Regulation C</w:t>
      </w:r>
    </w:p>
    <w:p w:rsidR="002B1659" w:rsidRPr="00B13577" w:rsidRDefault="00062695" w:rsidP="002B1659">
      <w:pPr>
        <w:spacing w:after="0"/>
        <w:rPr>
          <w:rFonts w:ascii="Times New Roman" w:hAnsi="Times New Roman" w:cs="Times New Roman"/>
          <w:b/>
          <w:sz w:val="24"/>
          <w:szCs w:val="24"/>
          <w:u w:val="single"/>
        </w:rPr>
      </w:pPr>
      <w:r w:rsidRPr="00B13577">
        <w:rPr>
          <w:rFonts w:ascii="Times New Roman" w:hAnsi="Times New Roman" w:cs="Times New Roman"/>
          <w:b/>
          <w:sz w:val="24"/>
          <w:szCs w:val="24"/>
          <w:u w:val="single"/>
        </w:rPr>
        <w:t>2017-4</w:t>
      </w:r>
    </w:p>
    <w:p w:rsidR="002B1659" w:rsidRPr="00B13577" w:rsidRDefault="002B1659" w:rsidP="002B1659">
      <w:pPr>
        <w:spacing w:after="0"/>
        <w:rPr>
          <w:rFonts w:ascii="Times New Roman" w:hAnsi="Times New Roman" w:cs="Times New Roman"/>
          <w:color w:val="FF0000"/>
          <w:sz w:val="24"/>
          <w:szCs w:val="24"/>
        </w:rPr>
      </w:pPr>
      <w:r w:rsidRPr="00B13577">
        <w:rPr>
          <w:rFonts w:ascii="Times New Roman" w:hAnsi="Times New Roman" w:cs="Times New Roman"/>
          <w:sz w:val="24"/>
          <w:szCs w:val="24"/>
        </w:rPr>
        <w:t xml:space="preserve">Policy </w:t>
      </w:r>
      <w:r w:rsidR="00062695" w:rsidRPr="00B13577">
        <w:rPr>
          <w:rFonts w:ascii="Times New Roman" w:hAnsi="Times New Roman" w:cs="Times New Roman"/>
          <w:sz w:val="24"/>
          <w:szCs w:val="24"/>
        </w:rPr>
        <w:t xml:space="preserve">9200 was revised to comply with the </w:t>
      </w:r>
      <w:hyperlink r:id="rId13" w:history="1">
        <w:r w:rsidR="00062695" w:rsidRPr="00B13577">
          <w:rPr>
            <w:rStyle w:val="Hyperlink"/>
            <w:rFonts w:ascii="Times New Roman" w:hAnsi="Times New Roman" w:cs="Times New Roman"/>
            <w:sz w:val="24"/>
            <w:szCs w:val="24"/>
          </w:rPr>
          <w:t>HMDA changes</w:t>
        </w:r>
      </w:hyperlink>
      <w:r w:rsidR="00062695" w:rsidRPr="00B13577">
        <w:rPr>
          <w:rFonts w:ascii="Times New Roman" w:hAnsi="Times New Roman" w:cs="Times New Roman"/>
          <w:sz w:val="24"/>
          <w:szCs w:val="24"/>
        </w:rPr>
        <w:t xml:space="preserve"> that are scheduled to become effective on January 1, 2018.  </w:t>
      </w:r>
      <w:r w:rsidR="00DE5B15" w:rsidRPr="00B13577">
        <w:rPr>
          <w:rFonts w:ascii="Times New Roman" w:hAnsi="Times New Roman" w:cs="Times New Roman"/>
          <w:sz w:val="24"/>
          <w:szCs w:val="24"/>
        </w:rPr>
        <w:t>In order to assist credit unions prepare and obtain Board approval, this policy was revised ahead of the effective date, but shouldn’t be adopted by the Board until the actual effective date.</w:t>
      </w:r>
      <w:r w:rsidR="00B13577">
        <w:rPr>
          <w:rFonts w:ascii="Times New Roman" w:hAnsi="Times New Roman" w:cs="Times New Roman"/>
          <w:sz w:val="24"/>
          <w:szCs w:val="24"/>
        </w:rPr>
        <w:t xml:space="preserve"> </w:t>
      </w:r>
      <w:r w:rsidR="003E0911" w:rsidRPr="003E0911">
        <w:rPr>
          <w:rFonts w:ascii="Times New Roman" w:eastAsia="MS Mincho" w:hAnsi="Times New Roman"/>
          <w:b/>
          <w:i/>
          <w:sz w:val="24"/>
        </w:rPr>
        <w:t xml:space="preserve">NOTE: Policy 9200 was revised so extensively that essentially the entire policy was re-written. Because of this, a redlined version is not being provided. </w:t>
      </w:r>
      <w:bookmarkStart w:id="0" w:name="_GoBack"/>
      <w:bookmarkEnd w:id="0"/>
      <w:r w:rsidRPr="00B13577">
        <w:rPr>
          <w:rFonts w:ascii="Times New Roman" w:hAnsi="Times New Roman" w:cs="Times New Roman"/>
          <w:color w:val="FF0000"/>
          <w:sz w:val="24"/>
          <w:szCs w:val="24"/>
        </w:rPr>
        <w:t>(Required)</w:t>
      </w:r>
    </w:p>
    <w:p w:rsidR="00B13577" w:rsidRDefault="00B13577" w:rsidP="0002135C">
      <w:pPr>
        <w:spacing w:after="0"/>
        <w:rPr>
          <w:rFonts w:ascii="Times New Roman" w:hAnsi="Times New Roman" w:cs="Times New Roman"/>
          <w:b/>
          <w:sz w:val="24"/>
          <w:szCs w:val="24"/>
          <w:u w:val="single"/>
        </w:rPr>
      </w:pPr>
    </w:p>
    <w:p w:rsidR="0002135C" w:rsidRPr="00B13577" w:rsidRDefault="0002135C" w:rsidP="0002135C">
      <w:pPr>
        <w:spacing w:after="0"/>
        <w:rPr>
          <w:rFonts w:ascii="Times New Roman" w:hAnsi="Times New Roman" w:cs="Times New Roman"/>
          <w:b/>
          <w:sz w:val="24"/>
          <w:szCs w:val="24"/>
          <w:u w:val="single"/>
        </w:rPr>
      </w:pPr>
      <w:r w:rsidRPr="00B13577">
        <w:rPr>
          <w:rFonts w:ascii="Times New Roman" w:hAnsi="Times New Roman" w:cs="Times New Roman"/>
          <w:b/>
          <w:sz w:val="24"/>
          <w:szCs w:val="24"/>
          <w:u w:val="single"/>
        </w:rPr>
        <w:t>Policy 10002 – Collection and Delinquency Records</w:t>
      </w:r>
    </w:p>
    <w:p w:rsidR="0002135C" w:rsidRPr="00B13577" w:rsidRDefault="0002135C" w:rsidP="0002135C">
      <w:pPr>
        <w:spacing w:after="0"/>
        <w:rPr>
          <w:rFonts w:ascii="Times New Roman" w:hAnsi="Times New Roman" w:cs="Times New Roman"/>
          <w:b/>
          <w:sz w:val="24"/>
          <w:szCs w:val="24"/>
          <w:u w:val="single"/>
        </w:rPr>
      </w:pPr>
      <w:r w:rsidRPr="00B13577">
        <w:rPr>
          <w:rFonts w:ascii="Times New Roman" w:hAnsi="Times New Roman" w:cs="Times New Roman"/>
          <w:b/>
          <w:sz w:val="24"/>
          <w:szCs w:val="24"/>
          <w:u w:val="single"/>
        </w:rPr>
        <w:t>2017-4</w:t>
      </w:r>
    </w:p>
    <w:p w:rsidR="0002135C" w:rsidRPr="00B13577" w:rsidRDefault="0002135C" w:rsidP="0002135C">
      <w:pPr>
        <w:spacing w:after="0"/>
        <w:rPr>
          <w:rFonts w:ascii="Times New Roman" w:hAnsi="Times New Roman" w:cs="Times New Roman"/>
          <w:color w:val="FF0000"/>
          <w:sz w:val="24"/>
          <w:szCs w:val="24"/>
        </w:rPr>
      </w:pPr>
      <w:r w:rsidRPr="00B13577">
        <w:rPr>
          <w:rFonts w:ascii="Times New Roman" w:hAnsi="Times New Roman" w:cs="Times New Roman"/>
          <w:sz w:val="24"/>
          <w:szCs w:val="24"/>
        </w:rPr>
        <w:t>This policy was revised to include the correct citations for retention timeframes.</w:t>
      </w:r>
      <w:r w:rsidR="00A516E3" w:rsidRPr="00B13577">
        <w:rPr>
          <w:rFonts w:ascii="Times New Roman" w:hAnsi="Times New Roman" w:cs="Times New Roman"/>
          <w:sz w:val="24"/>
          <w:szCs w:val="24"/>
        </w:rPr>
        <w:t xml:space="preserve">  Additionally, the requirement to retain paid collection files was increased to 7 years after the debt is paid.</w:t>
      </w:r>
      <w:r w:rsidR="00B13577">
        <w:rPr>
          <w:rFonts w:ascii="Times New Roman" w:hAnsi="Times New Roman" w:cs="Times New Roman"/>
          <w:sz w:val="24"/>
          <w:szCs w:val="24"/>
        </w:rPr>
        <w:t xml:space="preserve">  </w:t>
      </w:r>
      <w:r w:rsidRPr="00B13577">
        <w:rPr>
          <w:rFonts w:ascii="Times New Roman" w:hAnsi="Times New Roman" w:cs="Times New Roman"/>
          <w:color w:val="FF0000"/>
          <w:sz w:val="24"/>
          <w:szCs w:val="24"/>
        </w:rPr>
        <w:t>(Required)</w:t>
      </w:r>
    </w:p>
    <w:p w:rsidR="0002135C" w:rsidRPr="00B13577" w:rsidRDefault="0002135C" w:rsidP="006F0588">
      <w:pPr>
        <w:spacing w:after="0"/>
        <w:rPr>
          <w:rFonts w:ascii="Times New Roman" w:hAnsi="Times New Roman" w:cs="Times New Roman"/>
          <w:b/>
          <w:sz w:val="24"/>
          <w:szCs w:val="24"/>
          <w:u w:val="single"/>
        </w:rPr>
      </w:pPr>
    </w:p>
    <w:p w:rsidR="0002135C" w:rsidRPr="00B13577" w:rsidRDefault="0002135C" w:rsidP="0002135C">
      <w:pPr>
        <w:spacing w:after="0"/>
        <w:rPr>
          <w:rFonts w:ascii="Times New Roman" w:hAnsi="Times New Roman" w:cs="Times New Roman"/>
          <w:b/>
          <w:sz w:val="24"/>
          <w:szCs w:val="24"/>
          <w:u w:val="single"/>
        </w:rPr>
      </w:pPr>
      <w:r w:rsidRPr="00B13577">
        <w:rPr>
          <w:rFonts w:ascii="Times New Roman" w:hAnsi="Times New Roman" w:cs="Times New Roman"/>
          <w:b/>
          <w:sz w:val="24"/>
          <w:szCs w:val="24"/>
          <w:u w:val="single"/>
        </w:rPr>
        <w:t>Policy 10004 – Electronic Funds Transfer Records</w:t>
      </w:r>
    </w:p>
    <w:p w:rsidR="0002135C" w:rsidRPr="00B13577" w:rsidRDefault="0002135C" w:rsidP="0002135C">
      <w:pPr>
        <w:spacing w:after="0"/>
        <w:rPr>
          <w:rFonts w:ascii="Times New Roman" w:hAnsi="Times New Roman" w:cs="Times New Roman"/>
          <w:b/>
          <w:sz w:val="24"/>
          <w:szCs w:val="24"/>
          <w:u w:val="single"/>
        </w:rPr>
      </w:pPr>
      <w:r w:rsidRPr="00B13577">
        <w:rPr>
          <w:rFonts w:ascii="Times New Roman" w:hAnsi="Times New Roman" w:cs="Times New Roman"/>
          <w:b/>
          <w:sz w:val="24"/>
          <w:szCs w:val="24"/>
          <w:u w:val="single"/>
        </w:rPr>
        <w:t>2017-4</w:t>
      </w:r>
    </w:p>
    <w:p w:rsidR="0002135C" w:rsidRPr="00B13577" w:rsidRDefault="0002135C" w:rsidP="0002135C">
      <w:pPr>
        <w:spacing w:after="0"/>
        <w:rPr>
          <w:rFonts w:ascii="Times New Roman" w:hAnsi="Times New Roman" w:cs="Times New Roman"/>
          <w:color w:val="FF0000"/>
          <w:sz w:val="24"/>
          <w:szCs w:val="24"/>
        </w:rPr>
      </w:pPr>
      <w:r w:rsidRPr="00B13577">
        <w:rPr>
          <w:rFonts w:ascii="Times New Roman" w:hAnsi="Times New Roman" w:cs="Times New Roman"/>
          <w:sz w:val="24"/>
          <w:szCs w:val="24"/>
        </w:rPr>
        <w:t>This policy was revised to include the correct citation under NACHA Rules for certain ACH transactions.</w:t>
      </w:r>
      <w:r w:rsidR="00B13577">
        <w:rPr>
          <w:rFonts w:ascii="Times New Roman" w:hAnsi="Times New Roman" w:cs="Times New Roman"/>
          <w:sz w:val="24"/>
          <w:szCs w:val="24"/>
        </w:rPr>
        <w:t xml:space="preserve">  </w:t>
      </w:r>
      <w:r w:rsidRPr="00B13577">
        <w:rPr>
          <w:rFonts w:ascii="Times New Roman" w:hAnsi="Times New Roman" w:cs="Times New Roman"/>
          <w:color w:val="FF0000"/>
          <w:sz w:val="24"/>
          <w:szCs w:val="24"/>
        </w:rPr>
        <w:t>(Recommended)</w:t>
      </w:r>
    </w:p>
    <w:p w:rsidR="0002135C" w:rsidRPr="00B13577" w:rsidRDefault="0002135C" w:rsidP="006F0588">
      <w:pPr>
        <w:spacing w:after="0"/>
        <w:rPr>
          <w:rFonts w:ascii="Times New Roman" w:hAnsi="Times New Roman" w:cs="Times New Roman"/>
          <w:b/>
          <w:sz w:val="24"/>
          <w:szCs w:val="24"/>
          <w:u w:val="single"/>
        </w:rPr>
      </w:pPr>
    </w:p>
    <w:p w:rsidR="002B1659" w:rsidRPr="00B13577" w:rsidRDefault="003B2B99" w:rsidP="006F0588">
      <w:pPr>
        <w:spacing w:after="0"/>
        <w:rPr>
          <w:rFonts w:ascii="Times New Roman" w:hAnsi="Times New Roman" w:cs="Times New Roman"/>
          <w:b/>
          <w:sz w:val="24"/>
          <w:szCs w:val="24"/>
          <w:u w:val="single"/>
        </w:rPr>
      </w:pPr>
      <w:r w:rsidRPr="00B13577">
        <w:rPr>
          <w:rFonts w:ascii="Times New Roman" w:hAnsi="Times New Roman" w:cs="Times New Roman"/>
          <w:b/>
          <w:sz w:val="24"/>
          <w:szCs w:val="24"/>
          <w:u w:val="single"/>
        </w:rPr>
        <w:t>Policy 10005 – General Accounting Records</w:t>
      </w:r>
    </w:p>
    <w:p w:rsidR="003B2B99" w:rsidRPr="00B13577" w:rsidRDefault="003B2B99" w:rsidP="006F0588">
      <w:pPr>
        <w:spacing w:after="0"/>
        <w:rPr>
          <w:rFonts w:ascii="Times New Roman" w:hAnsi="Times New Roman" w:cs="Times New Roman"/>
          <w:b/>
          <w:sz w:val="24"/>
          <w:szCs w:val="24"/>
          <w:u w:val="single"/>
        </w:rPr>
      </w:pPr>
      <w:r w:rsidRPr="00B13577">
        <w:rPr>
          <w:rFonts w:ascii="Times New Roman" w:hAnsi="Times New Roman" w:cs="Times New Roman"/>
          <w:b/>
          <w:sz w:val="24"/>
          <w:szCs w:val="24"/>
          <w:u w:val="single"/>
        </w:rPr>
        <w:t>2017-4</w:t>
      </w:r>
    </w:p>
    <w:p w:rsidR="00BE1519" w:rsidRPr="00B13577" w:rsidRDefault="003B2B99" w:rsidP="00BE1519">
      <w:pPr>
        <w:spacing w:after="0"/>
        <w:rPr>
          <w:rFonts w:ascii="Times New Roman" w:hAnsi="Times New Roman" w:cs="Times New Roman"/>
          <w:color w:val="FF0000"/>
          <w:sz w:val="24"/>
          <w:szCs w:val="24"/>
        </w:rPr>
      </w:pPr>
      <w:r w:rsidRPr="00B13577">
        <w:rPr>
          <w:rFonts w:ascii="Times New Roman" w:hAnsi="Times New Roman" w:cs="Times New Roman"/>
          <w:sz w:val="24"/>
          <w:szCs w:val="24"/>
        </w:rPr>
        <w:t xml:space="preserve">This policy was revised to coincide with </w:t>
      </w:r>
      <w:hyperlink r:id="rId14" w:history="1">
        <w:r w:rsidRPr="00B13577">
          <w:rPr>
            <w:rStyle w:val="Hyperlink"/>
            <w:rFonts w:ascii="Times New Roman" w:hAnsi="Times New Roman" w:cs="Times New Roman"/>
            <w:sz w:val="24"/>
            <w:szCs w:val="24"/>
          </w:rPr>
          <w:t>NCUA Rules part 749</w:t>
        </w:r>
      </w:hyperlink>
      <w:r w:rsidRPr="00B13577">
        <w:rPr>
          <w:rFonts w:ascii="Times New Roman" w:hAnsi="Times New Roman" w:cs="Times New Roman"/>
          <w:sz w:val="24"/>
          <w:szCs w:val="24"/>
        </w:rPr>
        <w:t xml:space="preserve"> related to the permanent retention of vital records, which include a list of the credit union’s investments.  Timeframes were also adjusted to 5 years to comply with </w:t>
      </w:r>
      <w:hyperlink r:id="rId15" w:history="1">
        <w:r w:rsidRPr="00B13577">
          <w:rPr>
            <w:rStyle w:val="Hyperlink"/>
            <w:rFonts w:ascii="Times New Roman" w:hAnsi="Times New Roman" w:cs="Times New Roman"/>
            <w:sz w:val="24"/>
            <w:szCs w:val="24"/>
          </w:rPr>
          <w:t>BSA record retention</w:t>
        </w:r>
      </w:hyperlink>
      <w:r w:rsidRPr="00B13577">
        <w:rPr>
          <w:rFonts w:ascii="Times New Roman" w:hAnsi="Times New Roman" w:cs="Times New Roman"/>
          <w:sz w:val="24"/>
          <w:szCs w:val="24"/>
        </w:rPr>
        <w:t xml:space="preserve"> requirements and 3 years to comply with the </w:t>
      </w:r>
      <w:hyperlink r:id="rId16" w:history="1">
        <w:r w:rsidRPr="00B13577">
          <w:rPr>
            <w:rStyle w:val="Hyperlink"/>
            <w:rFonts w:ascii="Times New Roman" w:hAnsi="Times New Roman" w:cs="Times New Roman"/>
            <w:sz w:val="24"/>
            <w:szCs w:val="24"/>
          </w:rPr>
          <w:t>Fair Labor Standards Act</w:t>
        </w:r>
      </w:hyperlink>
      <w:r w:rsidRPr="00B13577">
        <w:rPr>
          <w:rFonts w:ascii="Times New Roman" w:hAnsi="Times New Roman" w:cs="Times New Roman"/>
          <w:sz w:val="24"/>
          <w:szCs w:val="24"/>
        </w:rPr>
        <w:t xml:space="preserve"> requirements for certain records.</w:t>
      </w:r>
      <w:r w:rsidR="00B13577">
        <w:rPr>
          <w:rFonts w:ascii="Times New Roman" w:hAnsi="Times New Roman" w:cs="Times New Roman"/>
          <w:sz w:val="24"/>
          <w:szCs w:val="24"/>
        </w:rPr>
        <w:t xml:space="preserve">  </w:t>
      </w:r>
      <w:r w:rsidR="00BE1519" w:rsidRPr="00B13577">
        <w:rPr>
          <w:rFonts w:ascii="Times New Roman" w:hAnsi="Times New Roman" w:cs="Times New Roman"/>
          <w:color w:val="FF0000"/>
          <w:sz w:val="24"/>
          <w:szCs w:val="24"/>
        </w:rPr>
        <w:t>(Required)</w:t>
      </w:r>
    </w:p>
    <w:p w:rsidR="00BE1519" w:rsidRPr="00B13577" w:rsidRDefault="00BE1519" w:rsidP="006F0588">
      <w:pPr>
        <w:spacing w:after="0"/>
        <w:rPr>
          <w:rFonts w:ascii="Times New Roman" w:hAnsi="Times New Roman" w:cs="Times New Roman"/>
          <w:sz w:val="24"/>
          <w:szCs w:val="24"/>
        </w:rPr>
      </w:pPr>
    </w:p>
    <w:p w:rsidR="00BE1519" w:rsidRPr="00B13577" w:rsidRDefault="00BE1519" w:rsidP="00BE1519">
      <w:pPr>
        <w:spacing w:after="0"/>
        <w:rPr>
          <w:rFonts w:ascii="Times New Roman" w:hAnsi="Times New Roman" w:cs="Times New Roman"/>
          <w:b/>
          <w:sz w:val="24"/>
          <w:szCs w:val="24"/>
          <w:u w:val="single"/>
        </w:rPr>
      </w:pPr>
      <w:r w:rsidRPr="00B13577">
        <w:rPr>
          <w:rFonts w:ascii="Times New Roman" w:hAnsi="Times New Roman" w:cs="Times New Roman"/>
          <w:b/>
          <w:sz w:val="24"/>
          <w:szCs w:val="24"/>
          <w:u w:val="single"/>
        </w:rPr>
        <w:t>Policy 10006 – Insurance &amp; Bond Records</w:t>
      </w:r>
    </w:p>
    <w:p w:rsidR="00BE1519" w:rsidRPr="00B13577" w:rsidRDefault="00BE1519" w:rsidP="00BE1519">
      <w:pPr>
        <w:spacing w:after="0"/>
        <w:rPr>
          <w:rFonts w:ascii="Times New Roman" w:hAnsi="Times New Roman" w:cs="Times New Roman"/>
          <w:b/>
          <w:sz w:val="24"/>
          <w:szCs w:val="24"/>
          <w:u w:val="single"/>
        </w:rPr>
      </w:pPr>
      <w:r w:rsidRPr="00B13577">
        <w:rPr>
          <w:rFonts w:ascii="Times New Roman" w:hAnsi="Times New Roman" w:cs="Times New Roman"/>
          <w:b/>
          <w:sz w:val="24"/>
          <w:szCs w:val="24"/>
          <w:u w:val="single"/>
        </w:rPr>
        <w:t>2017-4</w:t>
      </w:r>
    </w:p>
    <w:p w:rsidR="00BE1519" w:rsidRPr="00B13577" w:rsidRDefault="00BE1519" w:rsidP="00BE1519">
      <w:pPr>
        <w:spacing w:after="0"/>
        <w:rPr>
          <w:rFonts w:ascii="Times New Roman" w:hAnsi="Times New Roman" w:cs="Times New Roman"/>
          <w:color w:val="FF0000"/>
          <w:sz w:val="24"/>
          <w:szCs w:val="24"/>
        </w:rPr>
      </w:pPr>
      <w:r w:rsidRPr="00B13577">
        <w:rPr>
          <w:rFonts w:ascii="Times New Roman" w:hAnsi="Times New Roman" w:cs="Times New Roman"/>
          <w:sz w:val="24"/>
          <w:szCs w:val="24"/>
        </w:rPr>
        <w:t xml:space="preserve">This policy was revised to provide further clarification on the particular records being requested for retention. Additionally, it was clarified that in accordance with </w:t>
      </w:r>
      <w:hyperlink r:id="rId17" w:history="1">
        <w:r w:rsidRPr="00B13577">
          <w:rPr>
            <w:rStyle w:val="Hyperlink"/>
            <w:rFonts w:ascii="Times New Roman" w:hAnsi="Times New Roman" w:cs="Times New Roman"/>
            <w:sz w:val="24"/>
            <w:szCs w:val="24"/>
          </w:rPr>
          <w:t>NCUA Rules part 749</w:t>
        </w:r>
      </w:hyperlink>
      <w:r w:rsidRPr="00B13577">
        <w:rPr>
          <w:rFonts w:ascii="Times New Roman" w:hAnsi="Times New Roman" w:cs="Times New Roman"/>
          <w:sz w:val="24"/>
          <w:szCs w:val="24"/>
        </w:rPr>
        <w:t xml:space="preserve"> the credit union’s bond claims and insurance policies should be maintained permanently.</w:t>
      </w:r>
      <w:r w:rsidR="00B13577">
        <w:rPr>
          <w:rFonts w:ascii="Times New Roman" w:hAnsi="Times New Roman" w:cs="Times New Roman"/>
          <w:sz w:val="24"/>
          <w:szCs w:val="24"/>
        </w:rPr>
        <w:t xml:space="preserve">  </w:t>
      </w:r>
      <w:r w:rsidRPr="00B13577">
        <w:rPr>
          <w:rFonts w:ascii="Times New Roman" w:hAnsi="Times New Roman" w:cs="Times New Roman"/>
          <w:color w:val="FF0000"/>
          <w:sz w:val="24"/>
          <w:szCs w:val="24"/>
        </w:rPr>
        <w:t>(Required)</w:t>
      </w:r>
    </w:p>
    <w:p w:rsidR="00BE1519" w:rsidRPr="00B13577" w:rsidRDefault="00BE1519" w:rsidP="006F0588">
      <w:pPr>
        <w:spacing w:after="0"/>
        <w:rPr>
          <w:rFonts w:ascii="Times New Roman" w:hAnsi="Times New Roman" w:cs="Times New Roman"/>
          <w:sz w:val="24"/>
          <w:szCs w:val="24"/>
        </w:rPr>
      </w:pPr>
    </w:p>
    <w:p w:rsidR="00BE1519" w:rsidRPr="00B13577" w:rsidRDefault="00BE1519" w:rsidP="00BE1519">
      <w:pPr>
        <w:spacing w:after="0"/>
        <w:rPr>
          <w:rFonts w:ascii="Times New Roman" w:hAnsi="Times New Roman" w:cs="Times New Roman"/>
          <w:b/>
          <w:sz w:val="24"/>
          <w:szCs w:val="24"/>
          <w:u w:val="single"/>
        </w:rPr>
      </w:pPr>
      <w:r w:rsidRPr="00B13577">
        <w:rPr>
          <w:rFonts w:ascii="Times New Roman" w:hAnsi="Times New Roman" w:cs="Times New Roman"/>
          <w:b/>
          <w:sz w:val="24"/>
          <w:szCs w:val="24"/>
          <w:u w:val="single"/>
        </w:rPr>
        <w:t>Policy 10007 – Lending Records</w:t>
      </w:r>
    </w:p>
    <w:p w:rsidR="00BE1519" w:rsidRPr="00B13577" w:rsidRDefault="00BE1519" w:rsidP="00BE1519">
      <w:pPr>
        <w:spacing w:after="0"/>
        <w:rPr>
          <w:rFonts w:ascii="Times New Roman" w:hAnsi="Times New Roman" w:cs="Times New Roman"/>
          <w:b/>
          <w:sz w:val="24"/>
          <w:szCs w:val="24"/>
          <w:u w:val="single"/>
        </w:rPr>
      </w:pPr>
      <w:r w:rsidRPr="00B13577">
        <w:rPr>
          <w:rFonts w:ascii="Times New Roman" w:hAnsi="Times New Roman" w:cs="Times New Roman"/>
          <w:b/>
          <w:sz w:val="24"/>
          <w:szCs w:val="24"/>
          <w:u w:val="single"/>
        </w:rPr>
        <w:t>2017-4</w:t>
      </w:r>
    </w:p>
    <w:p w:rsidR="00BE1519" w:rsidRPr="00B13577" w:rsidRDefault="00BE1519" w:rsidP="00BE1519">
      <w:pPr>
        <w:spacing w:after="0"/>
        <w:rPr>
          <w:rFonts w:ascii="Times New Roman" w:hAnsi="Times New Roman" w:cs="Times New Roman"/>
          <w:color w:val="FF0000"/>
          <w:sz w:val="24"/>
          <w:szCs w:val="24"/>
        </w:rPr>
      </w:pPr>
      <w:r w:rsidRPr="00B13577">
        <w:rPr>
          <w:rFonts w:ascii="Times New Roman" w:hAnsi="Times New Roman" w:cs="Times New Roman"/>
          <w:sz w:val="24"/>
          <w:szCs w:val="24"/>
        </w:rPr>
        <w:t xml:space="preserve">This policy was revised to </w:t>
      </w:r>
      <w:r w:rsidR="00491B1F" w:rsidRPr="00B13577">
        <w:rPr>
          <w:rFonts w:ascii="Times New Roman" w:hAnsi="Times New Roman" w:cs="Times New Roman"/>
          <w:sz w:val="24"/>
          <w:szCs w:val="24"/>
        </w:rPr>
        <w:t xml:space="preserve">update the retention timeframe and reference for consumer loan documents in accordance with </w:t>
      </w:r>
      <w:hyperlink r:id="rId18" w:history="1">
        <w:r w:rsidR="00491B1F" w:rsidRPr="00B13577">
          <w:rPr>
            <w:rStyle w:val="Hyperlink"/>
            <w:rFonts w:ascii="Times New Roman" w:hAnsi="Times New Roman" w:cs="Times New Roman"/>
            <w:sz w:val="24"/>
            <w:szCs w:val="24"/>
          </w:rPr>
          <w:t>Regulation Z.</w:t>
        </w:r>
      </w:hyperlink>
      <w:r w:rsidR="00B13577" w:rsidRPr="00B13577">
        <w:rPr>
          <w:rStyle w:val="Hyperlink"/>
          <w:rFonts w:ascii="Times New Roman" w:hAnsi="Times New Roman" w:cs="Times New Roman"/>
          <w:sz w:val="24"/>
          <w:szCs w:val="24"/>
          <w:u w:val="none"/>
        </w:rPr>
        <w:t xml:space="preserve">  </w:t>
      </w:r>
      <w:r w:rsidRPr="00B13577">
        <w:rPr>
          <w:rFonts w:ascii="Times New Roman" w:hAnsi="Times New Roman" w:cs="Times New Roman"/>
          <w:color w:val="FF0000"/>
          <w:sz w:val="24"/>
          <w:szCs w:val="24"/>
        </w:rPr>
        <w:t>(Required)</w:t>
      </w:r>
    </w:p>
    <w:p w:rsidR="00BE1519" w:rsidRPr="00B13577" w:rsidRDefault="00BE1519" w:rsidP="006F0588">
      <w:pPr>
        <w:spacing w:after="0"/>
        <w:rPr>
          <w:rFonts w:ascii="Times New Roman" w:hAnsi="Times New Roman" w:cs="Times New Roman"/>
          <w:sz w:val="24"/>
          <w:szCs w:val="24"/>
        </w:rPr>
      </w:pPr>
    </w:p>
    <w:p w:rsidR="005D1D55" w:rsidRPr="00B13577" w:rsidRDefault="005D1D55" w:rsidP="005D1D55">
      <w:pPr>
        <w:spacing w:after="0"/>
        <w:rPr>
          <w:rFonts w:ascii="Times New Roman" w:hAnsi="Times New Roman" w:cs="Times New Roman"/>
          <w:b/>
          <w:sz w:val="24"/>
          <w:szCs w:val="24"/>
          <w:u w:val="single"/>
        </w:rPr>
      </w:pPr>
      <w:r w:rsidRPr="00B13577">
        <w:rPr>
          <w:rFonts w:ascii="Times New Roman" w:hAnsi="Times New Roman" w:cs="Times New Roman"/>
          <w:b/>
          <w:sz w:val="24"/>
          <w:szCs w:val="24"/>
          <w:u w:val="single"/>
        </w:rPr>
        <w:t>Policy 10008 – Negotiable Instruments Records</w:t>
      </w:r>
    </w:p>
    <w:p w:rsidR="005D1D55" w:rsidRPr="00B13577" w:rsidRDefault="005D1D55" w:rsidP="005D1D55">
      <w:pPr>
        <w:spacing w:after="0"/>
        <w:rPr>
          <w:rFonts w:ascii="Times New Roman" w:hAnsi="Times New Roman" w:cs="Times New Roman"/>
          <w:b/>
          <w:sz w:val="24"/>
          <w:szCs w:val="24"/>
          <w:u w:val="single"/>
        </w:rPr>
      </w:pPr>
      <w:r w:rsidRPr="00B13577">
        <w:rPr>
          <w:rFonts w:ascii="Times New Roman" w:hAnsi="Times New Roman" w:cs="Times New Roman"/>
          <w:b/>
          <w:sz w:val="24"/>
          <w:szCs w:val="24"/>
          <w:u w:val="single"/>
        </w:rPr>
        <w:t>2017-4</w:t>
      </w:r>
    </w:p>
    <w:p w:rsidR="005D1D55" w:rsidRPr="00B13577" w:rsidRDefault="005D1D55" w:rsidP="005D1D55">
      <w:pPr>
        <w:spacing w:after="0"/>
        <w:rPr>
          <w:rFonts w:ascii="Times New Roman" w:hAnsi="Times New Roman" w:cs="Times New Roman"/>
          <w:color w:val="FF0000"/>
          <w:sz w:val="24"/>
          <w:szCs w:val="24"/>
        </w:rPr>
      </w:pPr>
      <w:r w:rsidRPr="00B13577">
        <w:rPr>
          <w:rFonts w:ascii="Times New Roman" w:hAnsi="Times New Roman" w:cs="Times New Roman"/>
          <w:sz w:val="24"/>
          <w:szCs w:val="24"/>
        </w:rPr>
        <w:t xml:space="preserve">Timeframes were also adjusted to 5 years to comply with </w:t>
      </w:r>
      <w:hyperlink r:id="rId19" w:history="1">
        <w:r w:rsidRPr="00B13577">
          <w:rPr>
            <w:rStyle w:val="Hyperlink"/>
            <w:rFonts w:ascii="Times New Roman" w:hAnsi="Times New Roman" w:cs="Times New Roman"/>
            <w:sz w:val="24"/>
            <w:szCs w:val="24"/>
          </w:rPr>
          <w:t>BSA record retention</w:t>
        </w:r>
      </w:hyperlink>
      <w:r w:rsidRPr="00B13577">
        <w:rPr>
          <w:rFonts w:ascii="Times New Roman" w:hAnsi="Times New Roman" w:cs="Times New Roman"/>
          <w:sz w:val="24"/>
          <w:szCs w:val="24"/>
        </w:rPr>
        <w:t xml:space="preserve"> requirements.  Additionally, references for certain instruments were changed to reference the </w:t>
      </w:r>
      <w:hyperlink r:id="rId20" w:history="1">
        <w:r w:rsidRPr="00B13577">
          <w:rPr>
            <w:rStyle w:val="Hyperlink"/>
            <w:rFonts w:ascii="Times New Roman" w:hAnsi="Times New Roman" w:cs="Times New Roman"/>
            <w:sz w:val="24"/>
            <w:szCs w:val="24"/>
          </w:rPr>
          <w:t>Uniform Commercial Code, Article 4.</w:t>
        </w:r>
      </w:hyperlink>
      <w:r w:rsidRPr="00B13577">
        <w:rPr>
          <w:rFonts w:ascii="Times New Roman" w:hAnsi="Times New Roman" w:cs="Times New Roman"/>
          <w:sz w:val="24"/>
          <w:szCs w:val="24"/>
        </w:rPr>
        <w:t xml:space="preserve"> </w:t>
      </w:r>
      <w:r w:rsidR="00B13577">
        <w:rPr>
          <w:rFonts w:ascii="Times New Roman" w:hAnsi="Times New Roman" w:cs="Times New Roman"/>
          <w:sz w:val="24"/>
          <w:szCs w:val="24"/>
        </w:rPr>
        <w:t xml:space="preserve">  </w:t>
      </w:r>
      <w:r w:rsidRPr="00B13577">
        <w:rPr>
          <w:rFonts w:ascii="Times New Roman" w:hAnsi="Times New Roman" w:cs="Times New Roman"/>
          <w:color w:val="FF0000"/>
          <w:sz w:val="24"/>
          <w:szCs w:val="24"/>
        </w:rPr>
        <w:t>(Required)</w:t>
      </w:r>
    </w:p>
    <w:p w:rsidR="005D1D55" w:rsidRPr="00B13577" w:rsidRDefault="005D1D55" w:rsidP="006F0588">
      <w:pPr>
        <w:spacing w:after="0"/>
        <w:rPr>
          <w:rFonts w:ascii="Times New Roman" w:hAnsi="Times New Roman" w:cs="Times New Roman"/>
          <w:sz w:val="24"/>
          <w:szCs w:val="24"/>
        </w:rPr>
      </w:pPr>
    </w:p>
    <w:p w:rsidR="00934B0F" w:rsidRPr="00B13577" w:rsidRDefault="00934B0F" w:rsidP="00934B0F">
      <w:pPr>
        <w:spacing w:after="0"/>
        <w:rPr>
          <w:rFonts w:ascii="Times New Roman" w:hAnsi="Times New Roman" w:cs="Times New Roman"/>
          <w:b/>
          <w:sz w:val="24"/>
          <w:szCs w:val="24"/>
          <w:u w:val="single"/>
        </w:rPr>
      </w:pPr>
      <w:r w:rsidRPr="00B13577">
        <w:rPr>
          <w:rFonts w:ascii="Times New Roman" w:hAnsi="Times New Roman" w:cs="Times New Roman"/>
          <w:b/>
          <w:sz w:val="24"/>
          <w:szCs w:val="24"/>
          <w:u w:val="single"/>
        </w:rPr>
        <w:t>Policy 10009 – Personnel &amp; Employment Records</w:t>
      </w:r>
    </w:p>
    <w:p w:rsidR="00934B0F" w:rsidRPr="00B13577" w:rsidRDefault="00934B0F" w:rsidP="00934B0F">
      <w:pPr>
        <w:spacing w:after="0"/>
        <w:rPr>
          <w:rFonts w:ascii="Times New Roman" w:hAnsi="Times New Roman" w:cs="Times New Roman"/>
          <w:b/>
          <w:sz w:val="24"/>
          <w:szCs w:val="24"/>
          <w:u w:val="single"/>
        </w:rPr>
      </w:pPr>
      <w:r w:rsidRPr="00B13577">
        <w:rPr>
          <w:rFonts w:ascii="Times New Roman" w:hAnsi="Times New Roman" w:cs="Times New Roman"/>
          <w:b/>
          <w:sz w:val="24"/>
          <w:szCs w:val="24"/>
          <w:u w:val="single"/>
        </w:rPr>
        <w:t>2017-4</w:t>
      </w:r>
    </w:p>
    <w:p w:rsidR="00934B0F" w:rsidRPr="00B13577" w:rsidRDefault="001E3613" w:rsidP="00934B0F">
      <w:pPr>
        <w:spacing w:after="0"/>
        <w:rPr>
          <w:rFonts w:ascii="Times New Roman" w:hAnsi="Times New Roman" w:cs="Times New Roman"/>
          <w:color w:val="FF0000"/>
          <w:sz w:val="24"/>
          <w:szCs w:val="24"/>
        </w:rPr>
      </w:pPr>
      <w:r w:rsidRPr="00B13577">
        <w:rPr>
          <w:rFonts w:ascii="Times New Roman" w:hAnsi="Times New Roman" w:cs="Times New Roman"/>
          <w:sz w:val="24"/>
          <w:szCs w:val="24"/>
        </w:rPr>
        <w:t>Addition</w:t>
      </w:r>
      <w:r w:rsidR="00934B0F" w:rsidRPr="00B13577">
        <w:rPr>
          <w:rFonts w:ascii="Times New Roman" w:hAnsi="Times New Roman" w:cs="Times New Roman"/>
          <w:sz w:val="24"/>
          <w:szCs w:val="24"/>
        </w:rPr>
        <w:t xml:space="preserve"> was made to add </w:t>
      </w:r>
      <w:r w:rsidRPr="00B13577">
        <w:rPr>
          <w:rFonts w:ascii="Times New Roman" w:hAnsi="Times New Roman" w:cs="Times New Roman"/>
          <w:sz w:val="24"/>
          <w:szCs w:val="24"/>
        </w:rPr>
        <w:t>“</w:t>
      </w:r>
      <w:r w:rsidR="00934B0F" w:rsidRPr="00B13577">
        <w:rPr>
          <w:rFonts w:ascii="Times New Roman" w:hAnsi="Times New Roman" w:cs="Times New Roman"/>
          <w:sz w:val="24"/>
          <w:szCs w:val="24"/>
        </w:rPr>
        <w:t>401K</w:t>
      </w:r>
      <w:r w:rsidRPr="00B13577">
        <w:rPr>
          <w:rFonts w:ascii="Times New Roman" w:hAnsi="Times New Roman" w:cs="Times New Roman"/>
          <w:sz w:val="24"/>
          <w:szCs w:val="24"/>
        </w:rPr>
        <w:t>” under “Pension Plan documents.”</w:t>
      </w:r>
      <w:r w:rsidR="00B13577">
        <w:rPr>
          <w:rFonts w:ascii="Times New Roman" w:hAnsi="Times New Roman" w:cs="Times New Roman"/>
          <w:sz w:val="24"/>
          <w:szCs w:val="24"/>
        </w:rPr>
        <w:t xml:space="preserve">  </w:t>
      </w:r>
      <w:r w:rsidR="00934B0F" w:rsidRPr="00B13577">
        <w:rPr>
          <w:rFonts w:ascii="Times New Roman" w:hAnsi="Times New Roman" w:cs="Times New Roman"/>
          <w:color w:val="FF0000"/>
          <w:sz w:val="24"/>
          <w:szCs w:val="24"/>
        </w:rPr>
        <w:t>(Re</w:t>
      </w:r>
      <w:r w:rsidR="00F66B4A" w:rsidRPr="00B13577">
        <w:rPr>
          <w:rFonts w:ascii="Times New Roman" w:hAnsi="Times New Roman" w:cs="Times New Roman"/>
          <w:color w:val="FF0000"/>
          <w:sz w:val="24"/>
          <w:szCs w:val="24"/>
        </w:rPr>
        <w:t>commended</w:t>
      </w:r>
      <w:r w:rsidR="00934B0F" w:rsidRPr="00B13577">
        <w:rPr>
          <w:rFonts w:ascii="Times New Roman" w:hAnsi="Times New Roman" w:cs="Times New Roman"/>
          <w:color w:val="FF0000"/>
          <w:sz w:val="24"/>
          <w:szCs w:val="24"/>
        </w:rPr>
        <w:t>)</w:t>
      </w:r>
    </w:p>
    <w:p w:rsidR="00934B0F" w:rsidRPr="00B13577" w:rsidRDefault="00934B0F" w:rsidP="006F0588">
      <w:pPr>
        <w:spacing w:after="0"/>
        <w:rPr>
          <w:rFonts w:ascii="Times New Roman" w:hAnsi="Times New Roman" w:cs="Times New Roman"/>
          <w:sz w:val="24"/>
          <w:szCs w:val="24"/>
        </w:rPr>
      </w:pPr>
    </w:p>
    <w:p w:rsidR="003A49AD" w:rsidRDefault="003A49AD" w:rsidP="005D1D55">
      <w:pPr>
        <w:spacing w:after="0"/>
        <w:rPr>
          <w:rFonts w:ascii="Times New Roman" w:hAnsi="Times New Roman" w:cs="Times New Roman"/>
          <w:b/>
          <w:sz w:val="24"/>
          <w:szCs w:val="24"/>
          <w:u w:val="single"/>
        </w:rPr>
      </w:pPr>
    </w:p>
    <w:p w:rsidR="005D1D55" w:rsidRPr="00B13577" w:rsidRDefault="005D1D55" w:rsidP="005D1D55">
      <w:pPr>
        <w:spacing w:after="0"/>
        <w:rPr>
          <w:rFonts w:ascii="Times New Roman" w:hAnsi="Times New Roman" w:cs="Times New Roman"/>
          <w:b/>
          <w:sz w:val="24"/>
          <w:szCs w:val="24"/>
          <w:u w:val="single"/>
        </w:rPr>
      </w:pPr>
      <w:r w:rsidRPr="00B13577">
        <w:rPr>
          <w:rFonts w:ascii="Times New Roman" w:hAnsi="Times New Roman" w:cs="Times New Roman"/>
          <w:b/>
          <w:sz w:val="24"/>
          <w:szCs w:val="24"/>
          <w:u w:val="single"/>
        </w:rPr>
        <w:t>Policy 10010 – Security Records</w:t>
      </w:r>
    </w:p>
    <w:p w:rsidR="005D1D55" w:rsidRPr="00B13577" w:rsidRDefault="005D1D55" w:rsidP="005D1D55">
      <w:pPr>
        <w:spacing w:after="0"/>
        <w:rPr>
          <w:rFonts w:ascii="Times New Roman" w:hAnsi="Times New Roman" w:cs="Times New Roman"/>
          <w:b/>
          <w:sz w:val="24"/>
          <w:szCs w:val="24"/>
          <w:u w:val="single"/>
        </w:rPr>
      </w:pPr>
      <w:r w:rsidRPr="00B13577">
        <w:rPr>
          <w:rFonts w:ascii="Times New Roman" w:hAnsi="Times New Roman" w:cs="Times New Roman"/>
          <w:b/>
          <w:sz w:val="24"/>
          <w:szCs w:val="24"/>
          <w:u w:val="single"/>
        </w:rPr>
        <w:t>2017-4</w:t>
      </w:r>
    </w:p>
    <w:p w:rsidR="005D1D55" w:rsidRPr="00B13577" w:rsidRDefault="005D1D55" w:rsidP="005D1D55">
      <w:pPr>
        <w:spacing w:after="0"/>
        <w:rPr>
          <w:rFonts w:ascii="Times New Roman" w:hAnsi="Times New Roman" w:cs="Times New Roman"/>
          <w:color w:val="FF0000"/>
          <w:sz w:val="24"/>
          <w:szCs w:val="24"/>
        </w:rPr>
      </w:pPr>
      <w:r w:rsidRPr="00B13577">
        <w:rPr>
          <w:rFonts w:ascii="Times New Roman" w:hAnsi="Times New Roman" w:cs="Times New Roman"/>
          <w:sz w:val="24"/>
          <w:szCs w:val="24"/>
        </w:rPr>
        <w:t>Correction was made to the reference for Currency Transaction Reports.</w:t>
      </w:r>
      <w:r w:rsidR="00B13577">
        <w:rPr>
          <w:rFonts w:ascii="Times New Roman" w:hAnsi="Times New Roman" w:cs="Times New Roman"/>
          <w:sz w:val="24"/>
          <w:szCs w:val="24"/>
        </w:rPr>
        <w:t xml:space="preserve">  </w:t>
      </w:r>
      <w:r w:rsidR="00F66B4A" w:rsidRPr="00B13577">
        <w:rPr>
          <w:rFonts w:ascii="Times New Roman" w:hAnsi="Times New Roman" w:cs="Times New Roman"/>
          <w:color w:val="FF0000"/>
          <w:sz w:val="24"/>
          <w:szCs w:val="24"/>
        </w:rPr>
        <w:t>(Recommended</w:t>
      </w:r>
      <w:r w:rsidRPr="00B13577">
        <w:rPr>
          <w:rFonts w:ascii="Times New Roman" w:hAnsi="Times New Roman" w:cs="Times New Roman"/>
          <w:color w:val="FF0000"/>
          <w:sz w:val="24"/>
          <w:szCs w:val="24"/>
        </w:rPr>
        <w:t>)</w:t>
      </w:r>
    </w:p>
    <w:p w:rsidR="00B13577" w:rsidRDefault="00B13577" w:rsidP="005D1D55">
      <w:pPr>
        <w:spacing w:after="0"/>
        <w:rPr>
          <w:rFonts w:ascii="Times New Roman" w:hAnsi="Times New Roman" w:cs="Times New Roman"/>
          <w:b/>
          <w:sz w:val="24"/>
          <w:szCs w:val="24"/>
          <w:u w:val="single"/>
        </w:rPr>
      </w:pPr>
    </w:p>
    <w:p w:rsidR="005D1D55" w:rsidRPr="00B13577" w:rsidRDefault="005D1D55" w:rsidP="005D1D55">
      <w:pPr>
        <w:spacing w:after="0"/>
        <w:rPr>
          <w:rFonts w:ascii="Times New Roman" w:hAnsi="Times New Roman" w:cs="Times New Roman"/>
          <w:b/>
          <w:sz w:val="24"/>
          <w:szCs w:val="24"/>
          <w:u w:val="single"/>
        </w:rPr>
      </w:pPr>
      <w:r w:rsidRPr="00B13577">
        <w:rPr>
          <w:rFonts w:ascii="Times New Roman" w:hAnsi="Times New Roman" w:cs="Times New Roman"/>
          <w:b/>
          <w:sz w:val="24"/>
          <w:szCs w:val="24"/>
          <w:u w:val="single"/>
        </w:rPr>
        <w:t>Policy 10011 – Member Account Records</w:t>
      </w:r>
    </w:p>
    <w:p w:rsidR="005D1D55" w:rsidRPr="00B13577" w:rsidRDefault="005D1D55" w:rsidP="005D1D55">
      <w:pPr>
        <w:spacing w:after="0"/>
        <w:rPr>
          <w:rFonts w:ascii="Times New Roman" w:hAnsi="Times New Roman" w:cs="Times New Roman"/>
          <w:b/>
          <w:sz w:val="24"/>
          <w:szCs w:val="24"/>
          <w:u w:val="single"/>
        </w:rPr>
      </w:pPr>
      <w:r w:rsidRPr="00B13577">
        <w:rPr>
          <w:rFonts w:ascii="Times New Roman" w:hAnsi="Times New Roman" w:cs="Times New Roman"/>
          <w:b/>
          <w:sz w:val="24"/>
          <w:szCs w:val="24"/>
          <w:u w:val="single"/>
        </w:rPr>
        <w:t>2017-4</w:t>
      </w:r>
    </w:p>
    <w:p w:rsidR="005D1D55" w:rsidRPr="00B13577" w:rsidRDefault="005D1D55" w:rsidP="005D1D55">
      <w:pPr>
        <w:spacing w:after="0"/>
        <w:rPr>
          <w:rFonts w:ascii="Times New Roman" w:hAnsi="Times New Roman" w:cs="Times New Roman"/>
          <w:color w:val="FF0000"/>
          <w:sz w:val="24"/>
          <w:szCs w:val="24"/>
        </w:rPr>
      </w:pPr>
      <w:r w:rsidRPr="00B13577">
        <w:rPr>
          <w:rFonts w:ascii="Times New Roman" w:hAnsi="Times New Roman" w:cs="Times New Roman"/>
          <w:sz w:val="24"/>
          <w:szCs w:val="24"/>
        </w:rPr>
        <w:t xml:space="preserve">Correction was made to the citation for certain remote banking notices/disclosures and transfer authorizations to comply with the requirements within </w:t>
      </w:r>
      <w:hyperlink r:id="rId21" w:history="1">
        <w:r w:rsidRPr="00B13577">
          <w:rPr>
            <w:rStyle w:val="Hyperlink"/>
            <w:rFonts w:ascii="Times New Roman" w:hAnsi="Times New Roman" w:cs="Times New Roman"/>
            <w:sz w:val="24"/>
            <w:szCs w:val="24"/>
          </w:rPr>
          <w:t>Regulation E.</w:t>
        </w:r>
      </w:hyperlink>
      <w:r w:rsidR="00F42B68" w:rsidRPr="00B13577">
        <w:rPr>
          <w:rFonts w:ascii="Times New Roman" w:hAnsi="Times New Roman" w:cs="Times New Roman"/>
          <w:sz w:val="24"/>
          <w:szCs w:val="24"/>
        </w:rPr>
        <w:t xml:space="preserve">  Changes were also made to the retention time period for Signature Guarantees.</w:t>
      </w:r>
      <w:r w:rsidR="00B13577">
        <w:rPr>
          <w:rFonts w:ascii="Times New Roman" w:hAnsi="Times New Roman" w:cs="Times New Roman"/>
          <w:sz w:val="24"/>
          <w:szCs w:val="24"/>
        </w:rPr>
        <w:t xml:space="preserve">  </w:t>
      </w:r>
      <w:r w:rsidRPr="00B13577">
        <w:rPr>
          <w:rFonts w:ascii="Times New Roman" w:hAnsi="Times New Roman" w:cs="Times New Roman"/>
          <w:color w:val="FF0000"/>
          <w:sz w:val="24"/>
          <w:szCs w:val="24"/>
        </w:rPr>
        <w:t>(Required)</w:t>
      </w:r>
    </w:p>
    <w:p w:rsidR="005D1D55" w:rsidRPr="00B13577" w:rsidRDefault="005D1D55" w:rsidP="006F0588">
      <w:pPr>
        <w:spacing w:after="0"/>
        <w:rPr>
          <w:rFonts w:ascii="Times New Roman" w:hAnsi="Times New Roman" w:cs="Times New Roman"/>
          <w:sz w:val="24"/>
          <w:szCs w:val="24"/>
        </w:rPr>
      </w:pPr>
    </w:p>
    <w:p w:rsidR="00F66B4A" w:rsidRPr="00B13577" w:rsidRDefault="00F66B4A" w:rsidP="006F0588">
      <w:pPr>
        <w:spacing w:after="0"/>
        <w:rPr>
          <w:rFonts w:ascii="Times New Roman" w:hAnsi="Times New Roman" w:cs="Times New Roman"/>
          <w:sz w:val="24"/>
          <w:szCs w:val="24"/>
        </w:rPr>
      </w:pPr>
    </w:p>
    <w:sectPr w:rsidR="00F66B4A" w:rsidRPr="00B13577" w:rsidSect="00B90B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D79F9"/>
    <w:multiLevelType w:val="hybridMultilevel"/>
    <w:tmpl w:val="C9AE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8C6FC0"/>
    <w:multiLevelType w:val="hybridMultilevel"/>
    <w:tmpl w:val="B1602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D8"/>
    <w:rsid w:val="00001267"/>
    <w:rsid w:val="000029A6"/>
    <w:rsid w:val="0000557B"/>
    <w:rsid w:val="000106B2"/>
    <w:rsid w:val="00013026"/>
    <w:rsid w:val="00014B57"/>
    <w:rsid w:val="000200F1"/>
    <w:rsid w:val="0002135C"/>
    <w:rsid w:val="00021C22"/>
    <w:rsid w:val="00023FAB"/>
    <w:rsid w:val="000315F8"/>
    <w:rsid w:val="00036400"/>
    <w:rsid w:val="00036F5A"/>
    <w:rsid w:val="00043EE3"/>
    <w:rsid w:val="00046168"/>
    <w:rsid w:val="0004761E"/>
    <w:rsid w:val="00051FA8"/>
    <w:rsid w:val="0005660F"/>
    <w:rsid w:val="00056718"/>
    <w:rsid w:val="00061545"/>
    <w:rsid w:val="00062695"/>
    <w:rsid w:val="00067B62"/>
    <w:rsid w:val="00070AE7"/>
    <w:rsid w:val="00074839"/>
    <w:rsid w:val="000755E7"/>
    <w:rsid w:val="00080D3A"/>
    <w:rsid w:val="000811F3"/>
    <w:rsid w:val="00085236"/>
    <w:rsid w:val="00086A3A"/>
    <w:rsid w:val="00090672"/>
    <w:rsid w:val="00090DD5"/>
    <w:rsid w:val="00091126"/>
    <w:rsid w:val="000A27D8"/>
    <w:rsid w:val="000A6AA2"/>
    <w:rsid w:val="000A751A"/>
    <w:rsid w:val="000D513C"/>
    <w:rsid w:val="000F08D3"/>
    <w:rsid w:val="000F53B2"/>
    <w:rsid w:val="000F54EA"/>
    <w:rsid w:val="000F71D8"/>
    <w:rsid w:val="00102A64"/>
    <w:rsid w:val="00107530"/>
    <w:rsid w:val="001109C1"/>
    <w:rsid w:val="0011371C"/>
    <w:rsid w:val="001145EC"/>
    <w:rsid w:val="00114DA7"/>
    <w:rsid w:val="00114F4B"/>
    <w:rsid w:val="00115A78"/>
    <w:rsid w:val="0012611D"/>
    <w:rsid w:val="00127EB4"/>
    <w:rsid w:val="00127FDE"/>
    <w:rsid w:val="00132756"/>
    <w:rsid w:val="001368D2"/>
    <w:rsid w:val="001400C1"/>
    <w:rsid w:val="00162FFE"/>
    <w:rsid w:val="00165DDE"/>
    <w:rsid w:val="00170145"/>
    <w:rsid w:val="00170834"/>
    <w:rsid w:val="00171B34"/>
    <w:rsid w:val="00180102"/>
    <w:rsid w:val="00183EC0"/>
    <w:rsid w:val="00184E95"/>
    <w:rsid w:val="00194E96"/>
    <w:rsid w:val="00196302"/>
    <w:rsid w:val="001B20CA"/>
    <w:rsid w:val="001B38F4"/>
    <w:rsid w:val="001B4C05"/>
    <w:rsid w:val="001B4DCC"/>
    <w:rsid w:val="001C50D8"/>
    <w:rsid w:val="001D376F"/>
    <w:rsid w:val="001D4B3E"/>
    <w:rsid w:val="001E0DE6"/>
    <w:rsid w:val="001E3613"/>
    <w:rsid w:val="001E5678"/>
    <w:rsid w:val="001F0A11"/>
    <w:rsid w:val="001F143C"/>
    <w:rsid w:val="001F23BF"/>
    <w:rsid w:val="001F3E1A"/>
    <w:rsid w:val="002019D5"/>
    <w:rsid w:val="0020263F"/>
    <w:rsid w:val="00207BD1"/>
    <w:rsid w:val="002112F0"/>
    <w:rsid w:val="00211A86"/>
    <w:rsid w:val="0021217B"/>
    <w:rsid w:val="00216198"/>
    <w:rsid w:val="00220082"/>
    <w:rsid w:val="0022236F"/>
    <w:rsid w:val="002364CB"/>
    <w:rsid w:val="00245233"/>
    <w:rsid w:val="00250369"/>
    <w:rsid w:val="00255644"/>
    <w:rsid w:val="00262A25"/>
    <w:rsid w:val="00271634"/>
    <w:rsid w:val="00285927"/>
    <w:rsid w:val="00285F20"/>
    <w:rsid w:val="002925C1"/>
    <w:rsid w:val="00294923"/>
    <w:rsid w:val="002A13A4"/>
    <w:rsid w:val="002A262C"/>
    <w:rsid w:val="002B1659"/>
    <w:rsid w:val="002B4DDE"/>
    <w:rsid w:val="002B5230"/>
    <w:rsid w:val="002B54E5"/>
    <w:rsid w:val="002B7C4D"/>
    <w:rsid w:val="002C3E12"/>
    <w:rsid w:val="002C4239"/>
    <w:rsid w:val="002C6577"/>
    <w:rsid w:val="002D1823"/>
    <w:rsid w:val="002D55B6"/>
    <w:rsid w:val="002E41DB"/>
    <w:rsid w:val="00302A2A"/>
    <w:rsid w:val="00304E16"/>
    <w:rsid w:val="00317A11"/>
    <w:rsid w:val="00317B45"/>
    <w:rsid w:val="00321404"/>
    <w:rsid w:val="00324F95"/>
    <w:rsid w:val="00336997"/>
    <w:rsid w:val="0033754E"/>
    <w:rsid w:val="003437B4"/>
    <w:rsid w:val="0035450C"/>
    <w:rsid w:val="00354E7B"/>
    <w:rsid w:val="0036254E"/>
    <w:rsid w:val="00363693"/>
    <w:rsid w:val="00370395"/>
    <w:rsid w:val="00373A26"/>
    <w:rsid w:val="003922D3"/>
    <w:rsid w:val="003948E3"/>
    <w:rsid w:val="003957E3"/>
    <w:rsid w:val="003A096C"/>
    <w:rsid w:val="003A24A8"/>
    <w:rsid w:val="003A49AD"/>
    <w:rsid w:val="003B2B99"/>
    <w:rsid w:val="003B76CF"/>
    <w:rsid w:val="003C3BF2"/>
    <w:rsid w:val="003C50F3"/>
    <w:rsid w:val="003C6421"/>
    <w:rsid w:val="003C7772"/>
    <w:rsid w:val="003D0F93"/>
    <w:rsid w:val="003D6804"/>
    <w:rsid w:val="003E0911"/>
    <w:rsid w:val="003E390B"/>
    <w:rsid w:val="003E5DB4"/>
    <w:rsid w:val="003F699B"/>
    <w:rsid w:val="00403D7A"/>
    <w:rsid w:val="0041378D"/>
    <w:rsid w:val="004150D9"/>
    <w:rsid w:val="0041662E"/>
    <w:rsid w:val="0042683F"/>
    <w:rsid w:val="004336BD"/>
    <w:rsid w:val="00433EF0"/>
    <w:rsid w:val="00434F4C"/>
    <w:rsid w:val="00440E8C"/>
    <w:rsid w:val="00442B0C"/>
    <w:rsid w:val="0044472E"/>
    <w:rsid w:val="0044495B"/>
    <w:rsid w:val="00447E97"/>
    <w:rsid w:val="0045433D"/>
    <w:rsid w:val="004546F3"/>
    <w:rsid w:val="0046118A"/>
    <w:rsid w:val="004641CE"/>
    <w:rsid w:val="004650E6"/>
    <w:rsid w:val="00466C13"/>
    <w:rsid w:val="00475180"/>
    <w:rsid w:val="00477A02"/>
    <w:rsid w:val="0048261F"/>
    <w:rsid w:val="004831DF"/>
    <w:rsid w:val="00487A9F"/>
    <w:rsid w:val="00491607"/>
    <w:rsid w:val="00491B1F"/>
    <w:rsid w:val="00497204"/>
    <w:rsid w:val="004A1235"/>
    <w:rsid w:val="004A5149"/>
    <w:rsid w:val="004A722E"/>
    <w:rsid w:val="004C4421"/>
    <w:rsid w:val="004C5582"/>
    <w:rsid w:val="004C5C8A"/>
    <w:rsid w:val="004C6BA0"/>
    <w:rsid w:val="004C7FB4"/>
    <w:rsid w:val="004D27C8"/>
    <w:rsid w:val="004D3048"/>
    <w:rsid w:val="004D79B0"/>
    <w:rsid w:val="004E0513"/>
    <w:rsid w:val="004F0AD5"/>
    <w:rsid w:val="004F11B2"/>
    <w:rsid w:val="004F73DA"/>
    <w:rsid w:val="00500F85"/>
    <w:rsid w:val="00503B1C"/>
    <w:rsid w:val="00503C98"/>
    <w:rsid w:val="0050534A"/>
    <w:rsid w:val="0051031B"/>
    <w:rsid w:val="005200EE"/>
    <w:rsid w:val="00523EE0"/>
    <w:rsid w:val="00525093"/>
    <w:rsid w:val="00532FC6"/>
    <w:rsid w:val="005346E5"/>
    <w:rsid w:val="00534AA5"/>
    <w:rsid w:val="00540943"/>
    <w:rsid w:val="0054265A"/>
    <w:rsid w:val="005446F2"/>
    <w:rsid w:val="00550350"/>
    <w:rsid w:val="00555DB0"/>
    <w:rsid w:val="00572303"/>
    <w:rsid w:val="005822FE"/>
    <w:rsid w:val="00587D3D"/>
    <w:rsid w:val="005931AD"/>
    <w:rsid w:val="00596B90"/>
    <w:rsid w:val="00597492"/>
    <w:rsid w:val="005A35C1"/>
    <w:rsid w:val="005A3712"/>
    <w:rsid w:val="005A48A7"/>
    <w:rsid w:val="005C1731"/>
    <w:rsid w:val="005C2ECC"/>
    <w:rsid w:val="005C3108"/>
    <w:rsid w:val="005D1D55"/>
    <w:rsid w:val="005D21FE"/>
    <w:rsid w:val="005D3449"/>
    <w:rsid w:val="005E0B0E"/>
    <w:rsid w:val="005E19F2"/>
    <w:rsid w:val="005F422A"/>
    <w:rsid w:val="0060371C"/>
    <w:rsid w:val="00605415"/>
    <w:rsid w:val="00620723"/>
    <w:rsid w:val="00626499"/>
    <w:rsid w:val="0062666A"/>
    <w:rsid w:val="0063198E"/>
    <w:rsid w:val="006341F1"/>
    <w:rsid w:val="006345C2"/>
    <w:rsid w:val="00652C5D"/>
    <w:rsid w:val="00653748"/>
    <w:rsid w:val="00673691"/>
    <w:rsid w:val="006755D9"/>
    <w:rsid w:val="00681339"/>
    <w:rsid w:val="0068229E"/>
    <w:rsid w:val="00684A7D"/>
    <w:rsid w:val="00685F2B"/>
    <w:rsid w:val="006875CB"/>
    <w:rsid w:val="006902F5"/>
    <w:rsid w:val="00696776"/>
    <w:rsid w:val="006A33EC"/>
    <w:rsid w:val="006A38F2"/>
    <w:rsid w:val="006A5937"/>
    <w:rsid w:val="006A5AE2"/>
    <w:rsid w:val="006B3AF6"/>
    <w:rsid w:val="006B5506"/>
    <w:rsid w:val="006C2A4C"/>
    <w:rsid w:val="006D33B1"/>
    <w:rsid w:val="006D6769"/>
    <w:rsid w:val="006E24B3"/>
    <w:rsid w:val="006E3809"/>
    <w:rsid w:val="006F0588"/>
    <w:rsid w:val="006F2F2F"/>
    <w:rsid w:val="006F4AB0"/>
    <w:rsid w:val="007015C0"/>
    <w:rsid w:val="00701F78"/>
    <w:rsid w:val="007075F0"/>
    <w:rsid w:val="00721A21"/>
    <w:rsid w:val="007268EA"/>
    <w:rsid w:val="007344A8"/>
    <w:rsid w:val="00736B7D"/>
    <w:rsid w:val="00736D4C"/>
    <w:rsid w:val="0074024B"/>
    <w:rsid w:val="00745E5F"/>
    <w:rsid w:val="007462AE"/>
    <w:rsid w:val="00752D47"/>
    <w:rsid w:val="007543AE"/>
    <w:rsid w:val="007607C6"/>
    <w:rsid w:val="00765780"/>
    <w:rsid w:val="0077125D"/>
    <w:rsid w:val="00777238"/>
    <w:rsid w:val="007837CD"/>
    <w:rsid w:val="007862A9"/>
    <w:rsid w:val="007915F9"/>
    <w:rsid w:val="0079185B"/>
    <w:rsid w:val="00796FA6"/>
    <w:rsid w:val="007D0FD6"/>
    <w:rsid w:val="007E3A54"/>
    <w:rsid w:val="007E3E35"/>
    <w:rsid w:val="007E48FD"/>
    <w:rsid w:val="007E6E43"/>
    <w:rsid w:val="007F0523"/>
    <w:rsid w:val="00800355"/>
    <w:rsid w:val="00802662"/>
    <w:rsid w:val="0080331E"/>
    <w:rsid w:val="00806885"/>
    <w:rsid w:val="00807413"/>
    <w:rsid w:val="0082498F"/>
    <w:rsid w:val="00834200"/>
    <w:rsid w:val="00836C99"/>
    <w:rsid w:val="00841393"/>
    <w:rsid w:val="008428BD"/>
    <w:rsid w:val="00846D68"/>
    <w:rsid w:val="00857E3F"/>
    <w:rsid w:val="00861803"/>
    <w:rsid w:val="008644E7"/>
    <w:rsid w:val="00866E5D"/>
    <w:rsid w:val="008714FD"/>
    <w:rsid w:val="00872BBC"/>
    <w:rsid w:val="00875714"/>
    <w:rsid w:val="008815A4"/>
    <w:rsid w:val="00883718"/>
    <w:rsid w:val="008867F3"/>
    <w:rsid w:val="008938E7"/>
    <w:rsid w:val="00893CEC"/>
    <w:rsid w:val="008A01EB"/>
    <w:rsid w:val="008B5AFF"/>
    <w:rsid w:val="008B7C92"/>
    <w:rsid w:val="008C06ED"/>
    <w:rsid w:val="008C2150"/>
    <w:rsid w:val="008D7403"/>
    <w:rsid w:val="008E43D9"/>
    <w:rsid w:val="008E7344"/>
    <w:rsid w:val="008F24DE"/>
    <w:rsid w:val="008F5787"/>
    <w:rsid w:val="009029BC"/>
    <w:rsid w:val="00904429"/>
    <w:rsid w:val="009056E4"/>
    <w:rsid w:val="00917743"/>
    <w:rsid w:val="00917AA1"/>
    <w:rsid w:val="009235C5"/>
    <w:rsid w:val="00923A41"/>
    <w:rsid w:val="00924E86"/>
    <w:rsid w:val="00926067"/>
    <w:rsid w:val="0093058B"/>
    <w:rsid w:val="00934B0F"/>
    <w:rsid w:val="00934CEB"/>
    <w:rsid w:val="00936252"/>
    <w:rsid w:val="0093734C"/>
    <w:rsid w:val="009514F0"/>
    <w:rsid w:val="00951ABD"/>
    <w:rsid w:val="009523BB"/>
    <w:rsid w:val="00963321"/>
    <w:rsid w:val="009674A5"/>
    <w:rsid w:val="0097362F"/>
    <w:rsid w:val="0097466A"/>
    <w:rsid w:val="00980E72"/>
    <w:rsid w:val="009821CE"/>
    <w:rsid w:val="0098222A"/>
    <w:rsid w:val="00984E09"/>
    <w:rsid w:val="00985550"/>
    <w:rsid w:val="009930F1"/>
    <w:rsid w:val="00993D53"/>
    <w:rsid w:val="009A4C1F"/>
    <w:rsid w:val="009A7ACC"/>
    <w:rsid w:val="009B1BF5"/>
    <w:rsid w:val="009C14E6"/>
    <w:rsid w:val="009C2441"/>
    <w:rsid w:val="009C2934"/>
    <w:rsid w:val="009C4F46"/>
    <w:rsid w:val="009D07F1"/>
    <w:rsid w:val="009D31D5"/>
    <w:rsid w:val="009E5306"/>
    <w:rsid w:val="009E56B7"/>
    <w:rsid w:val="009E6678"/>
    <w:rsid w:val="009F2FC9"/>
    <w:rsid w:val="009F38A1"/>
    <w:rsid w:val="00A03351"/>
    <w:rsid w:val="00A03C5E"/>
    <w:rsid w:val="00A150E8"/>
    <w:rsid w:val="00A27340"/>
    <w:rsid w:val="00A31E48"/>
    <w:rsid w:val="00A3721D"/>
    <w:rsid w:val="00A462B8"/>
    <w:rsid w:val="00A4655B"/>
    <w:rsid w:val="00A4686F"/>
    <w:rsid w:val="00A47473"/>
    <w:rsid w:val="00A47FAE"/>
    <w:rsid w:val="00A516E3"/>
    <w:rsid w:val="00A632FF"/>
    <w:rsid w:val="00A66EBE"/>
    <w:rsid w:val="00A719B9"/>
    <w:rsid w:val="00A763E1"/>
    <w:rsid w:val="00AA0106"/>
    <w:rsid w:val="00AA3F29"/>
    <w:rsid w:val="00AA5B1A"/>
    <w:rsid w:val="00AA7553"/>
    <w:rsid w:val="00AB0A58"/>
    <w:rsid w:val="00AB7419"/>
    <w:rsid w:val="00AC4E47"/>
    <w:rsid w:val="00AD0567"/>
    <w:rsid w:val="00AE13DC"/>
    <w:rsid w:val="00AE2C25"/>
    <w:rsid w:val="00AF12D8"/>
    <w:rsid w:val="00AF3DED"/>
    <w:rsid w:val="00AF5779"/>
    <w:rsid w:val="00B04FC4"/>
    <w:rsid w:val="00B13577"/>
    <w:rsid w:val="00B25593"/>
    <w:rsid w:val="00B32571"/>
    <w:rsid w:val="00B513B6"/>
    <w:rsid w:val="00B51894"/>
    <w:rsid w:val="00B52136"/>
    <w:rsid w:val="00B563E1"/>
    <w:rsid w:val="00B577DF"/>
    <w:rsid w:val="00B60AE5"/>
    <w:rsid w:val="00B60BBA"/>
    <w:rsid w:val="00B659C4"/>
    <w:rsid w:val="00B66CF6"/>
    <w:rsid w:val="00B67303"/>
    <w:rsid w:val="00B73E3F"/>
    <w:rsid w:val="00B77694"/>
    <w:rsid w:val="00B81F9D"/>
    <w:rsid w:val="00B842D4"/>
    <w:rsid w:val="00B90BA1"/>
    <w:rsid w:val="00B90FD6"/>
    <w:rsid w:val="00B9127B"/>
    <w:rsid w:val="00B94637"/>
    <w:rsid w:val="00BA1F65"/>
    <w:rsid w:val="00BA26B2"/>
    <w:rsid w:val="00BA279D"/>
    <w:rsid w:val="00BA430F"/>
    <w:rsid w:val="00BB0AED"/>
    <w:rsid w:val="00BB140A"/>
    <w:rsid w:val="00BB55F1"/>
    <w:rsid w:val="00BB59B8"/>
    <w:rsid w:val="00BC51D5"/>
    <w:rsid w:val="00BD1B72"/>
    <w:rsid w:val="00BD4441"/>
    <w:rsid w:val="00BE0DFF"/>
    <w:rsid w:val="00BE1519"/>
    <w:rsid w:val="00BE3E26"/>
    <w:rsid w:val="00BF1530"/>
    <w:rsid w:val="00BF501E"/>
    <w:rsid w:val="00C02A7B"/>
    <w:rsid w:val="00C10284"/>
    <w:rsid w:val="00C14330"/>
    <w:rsid w:val="00C15BB8"/>
    <w:rsid w:val="00C21218"/>
    <w:rsid w:val="00C21422"/>
    <w:rsid w:val="00C21978"/>
    <w:rsid w:val="00C2260D"/>
    <w:rsid w:val="00C22AD6"/>
    <w:rsid w:val="00C250D5"/>
    <w:rsid w:val="00C2705D"/>
    <w:rsid w:val="00C30421"/>
    <w:rsid w:val="00C32D59"/>
    <w:rsid w:val="00C364D2"/>
    <w:rsid w:val="00C44706"/>
    <w:rsid w:val="00C53582"/>
    <w:rsid w:val="00C567E8"/>
    <w:rsid w:val="00C57F9B"/>
    <w:rsid w:val="00C64F2C"/>
    <w:rsid w:val="00C7600B"/>
    <w:rsid w:val="00C80027"/>
    <w:rsid w:val="00C82E7B"/>
    <w:rsid w:val="00C87CA8"/>
    <w:rsid w:val="00C940C8"/>
    <w:rsid w:val="00CB6433"/>
    <w:rsid w:val="00CB7D30"/>
    <w:rsid w:val="00CC1E6E"/>
    <w:rsid w:val="00CD6D27"/>
    <w:rsid w:val="00CE7F1A"/>
    <w:rsid w:val="00CF13FC"/>
    <w:rsid w:val="00D15BFB"/>
    <w:rsid w:val="00D15EB1"/>
    <w:rsid w:val="00D16C95"/>
    <w:rsid w:val="00D2065B"/>
    <w:rsid w:val="00D212CF"/>
    <w:rsid w:val="00D356EE"/>
    <w:rsid w:val="00D46A66"/>
    <w:rsid w:val="00D47ADC"/>
    <w:rsid w:val="00D52AFA"/>
    <w:rsid w:val="00D603ED"/>
    <w:rsid w:val="00D62DA6"/>
    <w:rsid w:val="00D70B2C"/>
    <w:rsid w:val="00D72903"/>
    <w:rsid w:val="00D83E33"/>
    <w:rsid w:val="00D85BE1"/>
    <w:rsid w:val="00D92AE7"/>
    <w:rsid w:val="00D94E6D"/>
    <w:rsid w:val="00D94F80"/>
    <w:rsid w:val="00D95A72"/>
    <w:rsid w:val="00DA40ED"/>
    <w:rsid w:val="00DA5E05"/>
    <w:rsid w:val="00DC60F2"/>
    <w:rsid w:val="00DD4809"/>
    <w:rsid w:val="00DD4AD7"/>
    <w:rsid w:val="00DE05A2"/>
    <w:rsid w:val="00DE3201"/>
    <w:rsid w:val="00DE5B15"/>
    <w:rsid w:val="00DF02AD"/>
    <w:rsid w:val="00DF383E"/>
    <w:rsid w:val="00E04720"/>
    <w:rsid w:val="00E05AF5"/>
    <w:rsid w:val="00E104E2"/>
    <w:rsid w:val="00E1279A"/>
    <w:rsid w:val="00E14527"/>
    <w:rsid w:val="00E22808"/>
    <w:rsid w:val="00E2597A"/>
    <w:rsid w:val="00E313FF"/>
    <w:rsid w:val="00E32B47"/>
    <w:rsid w:val="00E33491"/>
    <w:rsid w:val="00E33782"/>
    <w:rsid w:val="00E34BA5"/>
    <w:rsid w:val="00E35FA8"/>
    <w:rsid w:val="00E37C05"/>
    <w:rsid w:val="00E40AC8"/>
    <w:rsid w:val="00E46C44"/>
    <w:rsid w:val="00E5066C"/>
    <w:rsid w:val="00E5247F"/>
    <w:rsid w:val="00E65221"/>
    <w:rsid w:val="00E66864"/>
    <w:rsid w:val="00E75AAB"/>
    <w:rsid w:val="00E838C4"/>
    <w:rsid w:val="00E8487F"/>
    <w:rsid w:val="00E90AFC"/>
    <w:rsid w:val="00EA23BF"/>
    <w:rsid w:val="00EA281C"/>
    <w:rsid w:val="00EB19FD"/>
    <w:rsid w:val="00EB5634"/>
    <w:rsid w:val="00EB73E0"/>
    <w:rsid w:val="00EC2122"/>
    <w:rsid w:val="00EC2A67"/>
    <w:rsid w:val="00EC6CDB"/>
    <w:rsid w:val="00ED2205"/>
    <w:rsid w:val="00EE0453"/>
    <w:rsid w:val="00EE43AE"/>
    <w:rsid w:val="00F031B4"/>
    <w:rsid w:val="00F109F1"/>
    <w:rsid w:val="00F21436"/>
    <w:rsid w:val="00F30B7A"/>
    <w:rsid w:val="00F42B68"/>
    <w:rsid w:val="00F42D3D"/>
    <w:rsid w:val="00F4480E"/>
    <w:rsid w:val="00F54F33"/>
    <w:rsid w:val="00F609AE"/>
    <w:rsid w:val="00F63104"/>
    <w:rsid w:val="00F63D61"/>
    <w:rsid w:val="00F66B4A"/>
    <w:rsid w:val="00F87A23"/>
    <w:rsid w:val="00F92157"/>
    <w:rsid w:val="00F96232"/>
    <w:rsid w:val="00F9641C"/>
    <w:rsid w:val="00F97BF4"/>
    <w:rsid w:val="00FA62F2"/>
    <w:rsid w:val="00FB0D7B"/>
    <w:rsid w:val="00FB3840"/>
    <w:rsid w:val="00FC0BBD"/>
    <w:rsid w:val="00FC425B"/>
    <w:rsid w:val="00FD3848"/>
    <w:rsid w:val="00FD39F7"/>
    <w:rsid w:val="00FE207A"/>
    <w:rsid w:val="00FE6F1B"/>
    <w:rsid w:val="00FF2BAE"/>
    <w:rsid w:val="00FF5F24"/>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2FCC5-99F9-423D-A59A-68A7A44B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DDE"/>
    <w:rPr>
      <w:color w:val="0000FF" w:themeColor="hyperlink"/>
      <w:u w:val="single"/>
    </w:rPr>
  </w:style>
  <w:style w:type="character" w:styleId="FollowedHyperlink">
    <w:name w:val="FollowedHyperlink"/>
    <w:basedOn w:val="DefaultParagraphFont"/>
    <w:uiPriority w:val="99"/>
    <w:semiHidden/>
    <w:unhideWhenUsed/>
    <w:rsid w:val="00BD1B72"/>
    <w:rPr>
      <w:color w:val="800080" w:themeColor="followedHyperlink"/>
      <w:u w:val="single"/>
    </w:rPr>
  </w:style>
  <w:style w:type="paragraph" w:customStyle="1" w:styleId="Default">
    <w:name w:val="Default"/>
    <w:rsid w:val="00DE320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9127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2339">
      <w:bodyDiv w:val="1"/>
      <w:marLeft w:val="0"/>
      <w:marRight w:val="0"/>
      <w:marTop w:val="0"/>
      <w:marBottom w:val="0"/>
      <w:divBdr>
        <w:top w:val="none" w:sz="0" w:space="0" w:color="auto"/>
        <w:left w:val="none" w:sz="0" w:space="0" w:color="auto"/>
        <w:bottom w:val="none" w:sz="0" w:space="0" w:color="auto"/>
        <w:right w:val="none" w:sz="0" w:space="0" w:color="auto"/>
      </w:divBdr>
    </w:div>
    <w:div w:id="33845904">
      <w:bodyDiv w:val="1"/>
      <w:marLeft w:val="0"/>
      <w:marRight w:val="0"/>
      <w:marTop w:val="0"/>
      <w:marBottom w:val="0"/>
      <w:divBdr>
        <w:top w:val="none" w:sz="0" w:space="0" w:color="auto"/>
        <w:left w:val="none" w:sz="0" w:space="0" w:color="auto"/>
        <w:bottom w:val="none" w:sz="0" w:space="0" w:color="auto"/>
        <w:right w:val="none" w:sz="0" w:space="0" w:color="auto"/>
      </w:divBdr>
    </w:div>
    <w:div w:id="553468289">
      <w:bodyDiv w:val="1"/>
      <w:marLeft w:val="0"/>
      <w:marRight w:val="0"/>
      <w:marTop w:val="0"/>
      <w:marBottom w:val="0"/>
      <w:divBdr>
        <w:top w:val="none" w:sz="0" w:space="0" w:color="auto"/>
        <w:left w:val="none" w:sz="0" w:space="0" w:color="auto"/>
        <w:bottom w:val="none" w:sz="0" w:space="0" w:color="auto"/>
        <w:right w:val="none" w:sz="0" w:space="0" w:color="auto"/>
      </w:divBdr>
    </w:div>
    <w:div w:id="962073202">
      <w:bodyDiv w:val="1"/>
      <w:marLeft w:val="0"/>
      <w:marRight w:val="0"/>
      <w:marTop w:val="0"/>
      <w:marBottom w:val="0"/>
      <w:divBdr>
        <w:top w:val="none" w:sz="0" w:space="0" w:color="auto"/>
        <w:left w:val="none" w:sz="0" w:space="0" w:color="auto"/>
        <w:bottom w:val="none" w:sz="0" w:space="0" w:color="auto"/>
        <w:right w:val="none" w:sz="0" w:space="0" w:color="auto"/>
      </w:divBdr>
    </w:div>
    <w:div w:id="1052923117">
      <w:bodyDiv w:val="1"/>
      <w:marLeft w:val="0"/>
      <w:marRight w:val="0"/>
      <w:marTop w:val="0"/>
      <w:marBottom w:val="0"/>
      <w:divBdr>
        <w:top w:val="none" w:sz="0" w:space="0" w:color="auto"/>
        <w:left w:val="none" w:sz="0" w:space="0" w:color="auto"/>
        <w:bottom w:val="none" w:sz="0" w:space="0" w:color="auto"/>
        <w:right w:val="none" w:sz="0" w:space="0" w:color="auto"/>
      </w:divBdr>
    </w:div>
    <w:div w:id="1074933893">
      <w:bodyDiv w:val="1"/>
      <w:marLeft w:val="0"/>
      <w:marRight w:val="0"/>
      <w:marTop w:val="0"/>
      <w:marBottom w:val="0"/>
      <w:divBdr>
        <w:top w:val="none" w:sz="0" w:space="0" w:color="auto"/>
        <w:left w:val="none" w:sz="0" w:space="0" w:color="auto"/>
        <w:bottom w:val="none" w:sz="0" w:space="0" w:color="auto"/>
        <w:right w:val="none" w:sz="0" w:space="0" w:color="auto"/>
      </w:divBdr>
    </w:div>
    <w:div w:id="1252348375">
      <w:bodyDiv w:val="1"/>
      <w:marLeft w:val="0"/>
      <w:marRight w:val="0"/>
      <w:marTop w:val="0"/>
      <w:marBottom w:val="0"/>
      <w:divBdr>
        <w:top w:val="none" w:sz="0" w:space="0" w:color="auto"/>
        <w:left w:val="none" w:sz="0" w:space="0" w:color="auto"/>
        <w:bottom w:val="none" w:sz="0" w:space="0" w:color="auto"/>
        <w:right w:val="none" w:sz="0" w:space="0" w:color="auto"/>
      </w:divBdr>
    </w:div>
    <w:div w:id="1633710936">
      <w:bodyDiv w:val="1"/>
      <w:marLeft w:val="0"/>
      <w:marRight w:val="0"/>
      <w:marTop w:val="0"/>
      <w:marBottom w:val="0"/>
      <w:divBdr>
        <w:top w:val="none" w:sz="0" w:space="0" w:color="auto"/>
        <w:left w:val="none" w:sz="0" w:space="0" w:color="auto"/>
        <w:bottom w:val="none" w:sz="0" w:space="0" w:color="auto"/>
        <w:right w:val="none" w:sz="0" w:space="0" w:color="auto"/>
      </w:divBdr>
      <w:divsChild>
        <w:div w:id="1191410024">
          <w:marLeft w:val="0"/>
          <w:marRight w:val="0"/>
          <w:marTop w:val="0"/>
          <w:marBottom w:val="0"/>
          <w:divBdr>
            <w:top w:val="none" w:sz="0" w:space="0" w:color="auto"/>
            <w:left w:val="none" w:sz="0" w:space="0" w:color="auto"/>
            <w:bottom w:val="none" w:sz="0" w:space="0" w:color="auto"/>
            <w:right w:val="none" w:sz="0" w:space="0" w:color="auto"/>
          </w:divBdr>
        </w:div>
        <w:div w:id="639505215">
          <w:marLeft w:val="0"/>
          <w:marRight w:val="0"/>
          <w:marTop w:val="0"/>
          <w:marBottom w:val="0"/>
          <w:divBdr>
            <w:top w:val="none" w:sz="0" w:space="0" w:color="auto"/>
            <w:left w:val="none" w:sz="0" w:space="0" w:color="auto"/>
            <w:bottom w:val="none" w:sz="0" w:space="0" w:color="auto"/>
            <w:right w:val="none" w:sz="0" w:space="0" w:color="auto"/>
          </w:divBdr>
        </w:div>
      </w:divsChild>
    </w:div>
    <w:div w:id="177570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ha.org/system/files/resources/NACHA_InteractiveTool_Flowchart_2016.03.31.pdf" TargetMode="External"/><Relationship Id="rId13" Type="http://schemas.openxmlformats.org/officeDocument/2006/relationships/hyperlink" Target="https://www.federalregister.gov/documents/2015/10/28/2015-26607/home-mortgage-disclosure-regulation-c" TargetMode="External"/><Relationship Id="rId18" Type="http://schemas.openxmlformats.org/officeDocument/2006/relationships/hyperlink" Target="https://www.ecfr.gov/cgi-bin/text-idx?SID=b6c2a05036f1c503100fbf6b74776caa&amp;mc=true&amp;node=se12.9.1026_125&amp;rgn=div8" TargetMode="External"/><Relationship Id="rId3" Type="http://schemas.openxmlformats.org/officeDocument/2006/relationships/settings" Target="settings.xml"/><Relationship Id="rId21" Type="http://schemas.openxmlformats.org/officeDocument/2006/relationships/hyperlink" Target="https://www.ecfr.gov/cgi-bin/text-idx?SID=23e7e4c111f1fb7669c7ec39328783be&amp;mc=true&amp;node=se12.8.1005_113&amp;rgn=div8" TargetMode="External"/><Relationship Id="rId7" Type="http://schemas.openxmlformats.org/officeDocument/2006/relationships/hyperlink" Target="https://www.nacha.org/rules/third-party-sender-registration" TargetMode="External"/><Relationship Id="rId12" Type="http://schemas.openxmlformats.org/officeDocument/2006/relationships/hyperlink" Target="https://www.ncua.gov/Legal/OpinionLetters/OL2002-0520.pdf" TargetMode="External"/><Relationship Id="rId17" Type="http://schemas.openxmlformats.org/officeDocument/2006/relationships/hyperlink" Target="https://www.ecfr.gov/cgi-bin/text-idx?SID=5b8e0d8075adc2f72db1367ea0463cd3&amp;mc=true&amp;node=pt12.7.749&amp;rgn=div5" TargetMode="External"/><Relationship Id="rId2" Type="http://schemas.openxmlformats.org/officeDocument/2006/relationships/styles" Target="styles.xml"/><Relationship Id="rId16" Type="http://schemas.openxmlformats.org/officeDocument/2006/relationships/hyperlink" Target="https://www.dol.gov/whd/regs/compliance/wh1261.pdf" TargetMode="External"/><Relationship Id="rId20" Type="http://schemas.openxmlformats.org/officeDocument/2006/relationships/hyperlink" Target="http://www.uniformlaws.org/Act.aspx?title=UCC%20Article%203,%20Negotiable%20Instruments%20and%20Article%204,%20Bank%20Deposits%20(2002)" TargetMode="External"/><Relationship Id="rId1" Type="http://schemas.openxmlformats.org/officeDocument/2006/relationships/numbering" Target="numbering.xml"/><Relationship Id="rId6" Type="http://schemas.openxmlformats.org/officeDocument/2006/relationships/hyperlink" Target="https://www.consumerfinance.gov/policy-compliance/guidance/implementation-guidance/hmda-implementation/" TargetMode="External"/><Relationship Id="rId11" Type="http://schemas.openxmlformats.org/officeDocument/2006/relationships/hyperlink" Target="https://www.nacha.org/rules/third-party-sender-registration" TargetMode="External"/><Relationship Id="rId5" Type="http://schemas.openxmlformats.org/officeDocument/2006/relationships/hyperlink" Target="https://www.federalregister.gov/documents/2015/10/28/2015-26607/home-mortgage-disclosure-regulation-c" TargetMode="External"/><Relationship Id="rId15" Type="http://schemas.openxmlformats.org/officeDocument/2006/relationships/hyperlink" Target="https://www.ffiec.gov/bsa_aml_infobase/pages_manual/OLM_116.htm" TargetMode="External"/><Relationship Id="rId23" Type="http://schemas.openxmlformats.org/officeDocument/2006/relationships/theme" Target="theme/theme1.xml"/><Relationship Id="rId10" Type="http://schemas.openxmlformats.org/officeDocument/2006/relationships/hyperlink" Target="https://www.nacha.org/rules/third-party-sender-registration" TargetMode="External"/><Relationship Id="rId19" Type="http://schemas.openxmlformats.org/officeDocument/2006/relationships/hyperlink" Target="https://www.ffiec.gov/bsa_aml_infobase/pages_manual/OLM_116.htm" TargetMode="External"/><Relationship Id="rId4" Type="http://schemas.openxmlformats.org/officeDocument/2006/relationships/webSettings" Target="webSettings.xml"/><Relationship Id="rId9" Type="http://schemas.openxmlformats.org/officeDocument/2006/relationships/hyperlink" Target="https://www.nacha.org/rules/third-party-sender-registration" TargetMode="External"/><Relationship Id="rId14" Type="http://schemas.openxmlformats.org/officeDocument/2006/relationships/hyperlink" Target="https://www.ecfr.gov/cgi-bin/text-idx?SID=5b8e0d8075adc2f72db1367ea0463cd3&amp;mc=true&amp;node=pt12.7.749&amp;rgn=div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Wolbert</dc:creator>
  <cp:lastModifiedBy>Mary Ann Koelzer</cp:lastModifiedBy>
  <cp:revision>7</cp:revision>
  <cp:lastPrinted>2014-12-03T13:21:00Z</cp:lastPrinted>
  <dcterms:created xsi:type="dcterms:W3CDTF">2017-10-05T01:50:00Z</dcterms:created>
  <dcterms:modified xsi:type="dcterms:W3CDTF">2017-10-05T18:26:00Z</dcterms:modified>
</cp:coreProperties>
</file>